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F08B661" w14:textId="77777777" w:rsidR="00897513" w:rsidRDefault="00897513">
      <w:pPr>
        <w:spacing w:after="0" w:line="240" w:lineRule="auto"/>
        <w:ind w:firstLine="90"/>
        <w:jc w:val="center"/>
      </w:pPr>
    </w:p>
    <w:p w14:paraId="437A6F64" w14:textId="77777777" w:rsidR="00A01459" w:rsidRDefault="00A01459">
      <w:pPr>
        <w:spacing w:after="0" w:line="240" w:lineRule="auto"/>
        <w:ind w:firstLine="90"/>
        <w:jc w:val="center"/>
      </w:pPr>
    </w:p>
    <w:p w14:paraId="3C49A8A4" w14:textId="77777777" w:rsidR="00257EEA" w:rsidRDefault="00257EEA" w:rsidP="00257EEA">
      <w:pPr>
        <w:spacing w:after="0" w:line="240" w:lineRule="auto"/>
        <w:ind w:firstLine="90"/>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rPr>
        <w:drawing>
          <wp:inline distT="0" distB="0" distL="0" distR="0" wp14:anchorId="7BF5794F" wp14:editId="133BD86B">
            <wp:extent cx="2327563" cy="8213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7349" cy="821279"/>
                    </a:xfrm>
                    <a:prstGeom prst="rect">
                      <a:avLst/>
                    </a:prstGeom>
                    <a:noFill/>
                    <a:ln>
                      <a:noFill/>
                    </a:ln>
                  </pic:spPr>
                </pic:pic>
              </a:graphicData>
            </a:graphic>
          </wp:inline>
        </w:drawing>
      </w:r>
    </w:p>
    <w:p w14:paraId="70D769BA" w14:textId="77777777" w:rsidR="00BF3B1B" w:rsidRDefault="00BF3B1B" w:rsidP="00257EEA">
      <w:pPr>
        <w:spacing w:after="0" w:line="240" w:lineRule="auto"/>
        <w:ind w:firstLine="90"/>
        <w:rPr>
          <w:rFonts w:ascii="Times New Roman" w:eastAsia="Times New Roman" w:hAnsi="Times New Roman" w:cs="Times New Roman"/>
          <w:b/>
          <w:sz w:val="28"/>
          <w:szCs w:val="28"/>
        </w:rPr>
      </w:pPr>
    </w:p>
    <w:p w14:paraId="12FFEFB9" w14:textId="77777777" w:rsidR="00257EEA" w:rsidRDefault="00257EEA" w:rsidP="00257EEA">
      <w:pPr>
        <w:tabs>
          <w:tab w:val="center" w:pos="4680"/>
          <w:tab w:val="right" w:pos="9360"/>
        </w:tabs>
        <w:spacing w:after="0" w:line="240" w:lineRule="auto"/>
        <w:rPr>
          <w:rFonts w:eastAsia="Times New Roman" w:cs="Times New Roman"/>
          <w:color w:val="auto"/>
          <w:sz w:val="32"/>
          <w:szCs w:val="32"/>
        </w:rPr>
      </w:pPr>
      <w:r w:rsidRPr="00257EEA">
        <w:rPr>
          <w:rFonts w:eastAsia="Times New Roman" w:cs="Times New Roman"/>
          <w:color w:val="auto"/>
          <w:sz w:val="32"/>
          <w:szCs w:val="32"/>
        </w:rPr>
        <w:t>A National Dialogue on Building a Learning-Based Credentialing System</w:t>
      </w:r>
    </w:p>
    <w:p w14:paraId="7F9C3617" w14:textId="77777777" w:rsidR="00985AF6" w:rsidRPr="00257EEA" w:rsidRDefault="00985AF6" w:rsidP="00257EEA">
      <w:pPr>
        <w:tabs>
          <w:tab w:val="center" w:pos="4680"/>
          <w:tab w:val="right" w:pos="9360"/>
        </w:tabs>
        <w:spacing w:after="0" w:line="240" w:lineRule="auto"/>
        <w:rPr>
          <w:rFonts w:eastAsia="Times New Roman" w:cs="Times New Roman"/>
          <w:color w:val="auto"/>
          <w:sz w:val="32"/>
          <w:szCs w:val="32"/>
        </w:rPr>
      </w:pPr>
    </w:p>
    <w:p w14:paraId="26D3FECD" w14:textId="77777777" w:rsidR="00257EEA" w:rsidRDefault="00257EEA">
      <w:pPr>
        <w:spacing w:after="0" w:line="240" w:lineRule="auto"/>
        <w:ind w:firstLine="90"/>
        <w:jc w:val="center"/>
        <w:rPr>
          <w:rFonts w:ascii="Times New Roman" w:eastAsia="Times New Roman" w:hAnsi="Times New Roman" w:cs="Times New Roman"/>
          <w:b/>
          <w:sz w:val="28"/>
          <w:szCs w:val="28"/>
        </w:rPr>
      </w:pPr>
    </w:p>
    <w:p w14:paraId="2DE2CE6C" w14:textId="77777777" w:rsidR="006F7D17" w:rsidRDefault="006F7D17">
      <w:pPr>
        <w:spacing w:after="0" w:line="240" w:lineRule="auto"/>
        <w:ind w:firstLine="90"/>
        <w:jc w:val="center"/>
        <w:rPr>
          <w:rFonts w:ascii="Times New Roman" w:eastAsia="Times New Roman" w:hAnsi="Times New Roman" w:cs="Times New Roman"/>
          <w:b/>
          <w:sz w:val="28"/>
          <w:szCs w:val="28"/>
        </w:rPr>
      </w:pPr>
    </w:p>
    <w:p w14:paraId="7115D7CD" w14:textId="292F9276" w:rsidR="00257EEA" w:rsidRDefault="00423F06">
      <w:pPr>
        <w:spacing w:after="0" w:line="240" w:lineRule="auto"/>
        <w:ind w:firstLine="90"/>
        <w:jc w:val="center"/>
        <w:rPr>
          <w:rFonts w:ascii="Times New Roman" w:eastAsia="Times New Roman" w:hAnsi="Times New Roman" w:cs="Times New Roman"/>
          <w:b/>
          <w:sz w:val="28"/>
          <w:szCs w:val="28"/>
        </w:rPr>
      </w:pPr>
      <w:r w:rsidRPr="004F53F0">
        <w:rPr>
          <w:rFonts w:ascii="Times New Roman" w:eastAsia="Times New Roman" w:hAnsi="Times New Roman" w:cs="Times New Roman"/>
          <w:b/>
          <w:noProof/>
          <w:sz w:val="56"/>
          <w:szCs w:val="56"/>
        </w:rPr>
        <mc:AlternateContent>
          <mc:Choice Requires="wps">
            <w:drawing>
              <wp:anchor distT="0" distB="0" distL="114300" distR="114300" simplePos="0" relativeHeight="251659264" behindDoc="0" locked="0" layoutInCell="1" allowOverlap="1" wp14:anchorId="79EA3924" wp14:editId="29979A17">
                <wp:simplePos x="0" y="0"/>
                <wp:positionH relativeFrom="column">
                  <wp:posOffset>893939</wp:posOffset>
                </wp:positionH>
                <wp:positionV relativeFrom="paragraph">
                  <wp:posOffset>194663</wp:posOffset>
                </wp:positionV>
                <wp:extent cx="6773333" cy="2244090"/>
                <wp:effectExtent l="0" t="0" r="27940"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3333" cy="2244090"/>
                        </a:xfrm>
                        <a:prstGeom prst="rect">
                          <a:avLst/>
                        </a:prstGeom>
                        <a:solidFill>
                          <a:srgbClr val="FFFFFF"/>
                        </a:solidFill>
                        <a:ln w="9525">
                          <a:solidFill>
                            <a:srgbClr val="000000"/>
                          </a:solidFill>
                          <a:miter lim="800000"/>
                          <a:headEnd/>
                          <a:tailEnd/>
                        </a:ln>
                      </wps:spPr>
                      <wps:txbx>
                        <w:txbxContent>
                          <w:p w14:paraId="307E8445" w14:textId="77777777" w:rsidR="00CA7477" w:rsidRDefault="00CA7477" w:rsidP="001B1A0F">
                            <w:pPr>
                              <w:shd w:val="clear" w:color="auto" w:fill="FDE9D9" w:themeFill="accent6" w:themeFillTint="33"/>
                              <w:spacing w:after="0" w:line="240" w:lineRule="auto"/>
                              <w:ind w:firstLine="90"/>
                              <w:jc w:val="center"/>
                              <w:rPr>
                                <w:rFonts w:ascii="Times New Roman" w:eastAsia="Times New Roman" w:hAnsi="Times New Roman" w:cs="Times New Roman"/>
                                <w:b/>
                                <w:sz w:val="56"/>
                                <w:szCs w:val="56"/>
                              </w:rPr>
                            </w:pPr>
                          </w:p>
                          <w:p w14:paraId="0619E396" w14:textId="77777777" w:rsidR="00CA7477" w:rsidRPr="00EF7928" w:rsidRDefault="00CA7477" w:rsidP="00E91A68">
                            <w:pPr>
                              <w:shd w:val="clear" w:color="auto" w:fill="FDE9D9" w:themeFill="accent6" w:themeFillTint="33"/>
                              <w:spacing w:after="0" w:line="240" w:lineRule="auto"/>
                              <w:ind w:firstLine="90"/>
                              <w:jc w:val="center"/>
                              <w:rPr>
                                <w:rFonts w:asciiTheme="minorHAnsi" w:eastAsia="Times New Roman" w:hAnsiTheme="minorHAnsi" w:cs="Times New Roman"/>
                                <w:b/>
                                <w:sz w:val="52"/>
                                <w:szCs w:val="52"/>
                              </w:rPr>
                            </w:pPr>
                            <w:r w:rsidRPr="00EF7928">
                              <w:rPr>
                                <w:rFonts w:asciiTheme="minorHAnsi" w:eastAsia="Times New Roman" w:hAnsiTheme="minorHAnsi" w:cs="Times New Roman"/>
                                <w:b/>
                                <w:sz w:val="52"/>
                                <w:szCs w:val="52"/>
                              </w:rPr>
                              <w:t xml:space="preserve">Landscape Review of Innovations </w:t>
                            </w:r>
                          </w:p>
                          <w:p w14:paraId="56557A31" w14:textId="2A3CA575" w:rsidR="00CA7477" w:rsidRPr="00A826CC" w:rsidRDefault="00CA7477" w:rsidP="00E91A68">
                            <w:pPr>
                              <w:shd w:val="clear" w:color="auto" w:fill="FDE9D9" w:themeFill="accent6" w:themeFillTint="33"/>
                              <w:spacing w:after="0" w:line="240" w:lineRule="auto"/>
                              <w:ind w:firstLine="90"/>
                              <w:jc w:val="center"/>
                              <w:rPr>
                                <w:rFonts w:asciiTheme="minorHAnsi" w:eastAsia="Times New Roman" w:hAnsiTheme="minorHAnsi" w:cs="Times New Roman"/>
                                <w:b/>
                                <w:sz w:val="52"/>
                                <w:szCs w:val="52"/>
                              </w:rPr>
                            </w:pPr>
                            <w:r w:rsidRPr="00A826CC">
                              <w:rPr>
                                <w:rFonts w:asciiTheme="minorHAnsi" w:eastAsia="Times New Roman" w:hAnsiTheme="minorHAnsi" w:cs="Times New Roman"/>
                                <w:b/>
                                <w:sz w:val="52"/>
                                <w:szCs w:val="52"/>
                              </w:rPr>
                              <w:t>in the U.S. Credentialing Marketplace:</w:t>
                            </w:r>
                          </w:p>
                          <w:p w14:paraId="283D85D1" w14:textId="77777777" w:rsidR="00CA7477" w:rsidRPr="000C4A35" w:rsidRDefault="00CA7477" w:rsidP="001B1A0F">
                            <w:pPr>
                              <w:shd w:val="clear" w:color="auto" w:fill="FDE9D9" w:themeFill="accent6" w:themeFillTint="33"/>
                              <w:spacing w:after="0" w:line="240" w:lineRule="auto"/>
                              <w:ind w:firstLine="90"/>
                              <w:jc w:val="center"/>
                              <w:rPr>
                                <w:rFonts w:asciiTheme="minorHAnsi" w:hAnsiTheme="minorHAnsi"/>
                              </w:rPr>
                            </w:pPr>
                            <w:r w:rsidRPr="00A826CC">
                              <w:rPr>
                                <w:rFonts w:asciiTheme="minorHAnsi" w:eastAsia="Times New Roman" w:hAnsiTheme="minorHAnsi" w:cs="Times New Roman"/>
                                <w:b/>
                                <w:sz w:val="52"/>
                                <w:szCs w:val="52"/>
                              </w:rPr>
                              <w:t>A Working Document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EA3924" id="_x0000_t202" coordsize="21600,21600" o:spt="202" path="m,l,21600r21600,l21600,xe">
                <v:stroke joinstyle="miter"/>
                <v:path gradientshapeok="t" o:connecttype="rect"/>
              </v:shapetype>
              <v:shape id="Text Box 2" o:spid="_x0000_s1026" type="#_x0000_t202" style="position:absolute;left:0;text-align:left;margin-left:70.4pt;margin-top:15.35pt;width:533.35pt;height:17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">
                <v:textbox>
                  <w:txbxContent>
                    <w:p w14:paraId="307E8445" w14:textId="77777777" w:rsidR="00CA7477" w:rsidRDefault="00CA7477" w:rsidP="001B1A0F">
                      <w:pPr>
                        <w:shd w:val="clear" w:color="auto" w:fill="FDE9D9" w:themeFill="accent6" w:themeFillTint="33"/>
                        <w:spacing w:after="0" w:line="240" w:lineRule="auto"/>
                        <w:ind w:firstLine="90"/>
                        <w:jc w:val="center"/>
                        <w:rPr>
                          <w:rFonts w:ascii="Times New Roman" w:eastAsia="Times New Roman" w:hAnsi="Times New Roman" w:cs="Times New Roman"/>
                          <w:b/>
                          <w:sz w:val="56"/>
                          <w:szCs w:val="56"/>
                        </w:rPr>
                      </w:pPr>
                    </w:p>
                    <w:p w14:paraId="0619E396" w14:textId="77777777" w:rsidR="00CA7477" w:rsidRPr="00EF7928" w:rsidRDefault="00CA7477" w:rsidP="00E91A68">
                      <w:pPr>
                        <w:shd w:val="clear" w:color="auto" w:fill="FDE9D9" w:themeFill="accent6" w:themeFillTint="33"/>
                        <w:spacing w:after="0" w:line="240" w:lineRule="auto"/>
                        <w:ind w:firstLine="90"/>
                        <w:jc w:val="center"/>
                        <w:rPr>
                          <w:rFonts w:asciiTheme="minorHAnsi" w:eastAsia="Times New Roman" w:hAnsiTheme="minorHAnsi" w:cs="Times New Roman"/>
                          <w:b/>
                          <w:sz w:val="52"/>
                          <w:szCs w:val="52"/>
                        </w:rPr>
                      </w:pPr>
                      <w:r w:rsidRPr="00EF7928">
                        <w:rPr>
                          <w:rFonts w:asciiTheme="minorHAnsi" w:eastAsia="Times New Roman" w:hAnsiTheme="minorHAnsi" w:cs="Times New Roman"/>
                          <w:b/>
                          <w:sz w:val="52"/>
                          <w:szCs w:val="52"/>
                        </w:rPr>
                        <w:t xml:space="preserve">Landscape Review of Innovations </w:t>
                      </w:r>
                    </w:p>
                    <w:p w14:paraId="56557A31" w14:textId="2A3CA575" w:rsidR="00CA7477" w:rsidRPr="00A826CC" w:rsidRDefault="00CA7477" w:rsidP="00E91A68">
                      <w:pPr>
                        <w:shd w:val="clear" w:color="auto" w:fill="FDE9D9" w:themeFill="accent6" w:themeFillTint="33"/>
                        <w:spacing w:after="0" w:line="240" w:lineRule="auto"/>
                        <w:ind w:firstLine="90"/>
                        <w:jc w:val="center"/>
                        <w:rPr>
                          <w:rFonts w:asciiTheme="minorHAnsi" w:eastAsia="Times New Roman" w:hAnsiTheme="minorHAnsi" w:cs="Times New Roman"/>
                          <w:b/>
                          <w:sz w:val="52"/>
                          <w:szCs w:val="52"/>
                        </w:rPr>
                      </w:pPr>
                      <w:r w:rsidRPr="00A826CC">
                        <w:rPr>
                          <w:rFonts w:asciiTheme="minorHAnsi" w:eastAsia="Times New Roman" w:hAnsiTheme="minorHAnsi" w:cs="Times New Roman"/>
                          <w:b/>
                          <w:sz w:val="52"/>
                          <w:szCs w:val="52"/>
                        </w:rPr>
                        <w:t>in the U.S. Credentialing Marketplace:</w:t>
                      </w:r>
                    </w:p>
                    <w:p w14:paraId="283D85D1" w14:textId="77777777" w:rsidR="00CA7477" w:rsidRPr="000C4A35" w:rsidRDefault="00CA7477" w:rsidP="001B1A0F">
                      <w:pPr>
                        <w:shd w:val="clear" w:color="auto" w:fill="FDE9D9" w:themeFill="accent6" w:themeFillTint="33"/>
                        <w:spacing w:after="0" w:line="240" w:lineRule="auto"/>
                        <w:ind w:firstLine="90"/>
                        <w:jc w:val="center"/>
                        <w:rPr>
                          <w:rFonts w:asciiTheme="minorHAnsi" w:hAnsiTheme="minorHAnsi"/>
                        </w:rPr>
                      </w:pPr>
                      <w:r w:rsidRPr="00A826CC">
                        <w:rPr>
                          <w:rFonts w:asciiTheme="minorHAnsi" w:eastAsia="Times New Roman" w:hAnsiTheme="minorHAnsi" w:cs="Times New Roman"/>
                          <w:b/>
                          <w:sz w:val="52"/>
                          <w:szCs w:val="52"/>
                        </w:rPr>
                        <w:t>A Working Document</w:t>
                      </w:r>
                    </w:p>
                  </w:txbxContent>
                </v:textbox>
              </v:shape>
            </w:pict>
          </mc:Fallback>
        </mc:AlternateContent>
      </w:r>
    </w:p>
    <w:p w14:paraId="6E04DA1E" w14:textId="41CE7A1D" w:rsidR="00BF3B1B" w:rsidRDefault="00BF3B1B">
      <w:pPr>
        <w:spacing w:after="0" w:line="240" w:lineRule="auto"/>
        <w:ind w:firstLine="90"/>
        <w:jc w:val="center"/>
        <w:rPr>
          <w:rFonts w:ascii="Times New Roman" w:eastAsia="Times New Roman" w:hAnsi="Times New Roman" w:cs="Times New Roman"/>
          <w:b/>
          <w:sz w:val="56"/>
          <w:szCs w:val="56"/>
        </w:rPr>
      </w:pPr>
    </w:p>
    <w:p w14:paraId="4B309A79" w14:textId="77777777" w:rsidR="004F53F0" w:rsidRDefault="004F53F0">
      <w:pPr>
        <w:spacing w:after="0" w:line="240" w:lineRule="auto"/>
        <w:ind w:firstLine="90"/>
        <w:jc w:val="center"/>
        <w:rPr>
          <w:rFonts w:ascii="Times New Roman" w:eastAsia="Times New Roman" w:hAnsi="Times New Roman" w:cs="Times New Roman"/>
          <w:b/>
          <w:sz w:val="56"/>
          <w:szCs w:val="56"/>
        </w:rPr>
      </w:pPr>
    </w:p>
    <w:p w14:paraId="22A2EB40" w14:textId="77777777" w:rsidR="004F53F0" w:rsidRDefault="004F53F0">
      <w:pPr>
        <w:spacing w:after="0" w:line="240" w:lineRule="auto"/>
        <w:ind w:firstLine="90"/>
        <w:jc w:val="center"/>
        <w:rPr>
          <w:rFonts w:ascii="Times New Roman" w:eastAsia="Times New Roman" w:hAnsi="Times New Roman" w:cs="Times New Roman"/>
          <w:b/>
          <w:sz w:val="56"/>
          <w:szCs w:val="56"/>
        </w:rPr>
      </w:pPr>
    </w:p>
    <w:p w14:paraId="5F27C12D" w14:textId="77777777" w:rsidR="004F53F0" w:rsidRDefault="004F53F0">
      <w:pPr>
        <w:spacing w:after="0" w:line="240" w:lineRule="auto"/>
        <w:ind w:firstLine="90"/>
        <w:jc w:val="center"/>
        <w:rPr>
          <w:rFonts w:ascii="Times New Roman" w:eastAsia="Times New Roman" w:hAnsi="Times New Roman" w:cs="Times New Roman"/>
          <w:b/>
          <w:sz w:val="56"/>
          <w:szCs w:val="56"/>
        </w:rPr>
      </w:pPr>
    </w:p>
    <w:p w14:paraId="132ACDC4" w14:textId="77777777" w:rsidR="004F53F0" w:rsidRDefault="004F53F0">
      <w:pPr>
        <w:spacing w:after="0" w:line="240" w:lineRule="auto"/>
        <w:ind w:firstLine="90"/>
        <w:jc w:val="center"/>
        <w:rPr>
          <w:rFonts w:ascii="Times New Roman" w:eastAsia="Times New Roman" w:hAnsi="Times New Roman" w:cs="Times New Roman"/>
          <w:b/>
          <w:sz w:val="56"/>
          <w:szCs w:val="56"/>
        </w:rPr>
      </w:pPr>
    </w:p>
    <w:p w14:paraId="6C2499B0" w14:textId="77777777" w:rsidR="004F53F0" w:rsidRDefault="004F53F0">
      <w:pPr>
        <w:spacing w:after="0" w:line="240" w:lineRule="auto"/>
        <w:ind w:firstLine="90"/>
        <w:jc w:val="center"/>
        <w:rPr>
          <w:rFonts w:ascii="Times New Roman" w:eastAsia="Times New Roman" w:hAnsi="Times New Roman" w:cs="Times New Roman"/>
          <w:b/>
          <w:sz w:val="56"/>
          <w:szCs w:val="56"/>
        </w:rPr>
      </w:pPr>
    </w:p>
    <w:p w14:paraId="5328EBB3" w14:textId="447861ED" w:rsidR="00BF3B1B" w:rsidRDefault="00EF7928" w:rsidP="00EF7928">
      <w:pPr>
        <w:tabs>
          <w:tab w:val="left" w:pos="7022"/>
        </w:tabs>
        <w:spacing w:after="0" w:line="240" w:lineRule="auto"/>
        <w:ind w:firstLine="90"/>
        <w:rPr>
          <w:rFonts w:ascii="Times New Roman" w:eastAsia="Times New Roman" w:hAnsi="Times New Roman" w:cs="Times New Roman"/>
          <w:b/>
          <w:sz w:val="56"/>
          <w:szCs w:val="56"/>
        </w:rPr>
      </w:pPr>
      <w:r>
        <w:rPr>
          <w:rFonts w:ascii="Times New Roman" w:eastAsia="Times New Roman" w:hAnsi="Times New Roman" w:cs="Times New Roman"/>
          <w:b/>
          <w:sz w:val="56"/>
          <w:szCs w:val="56"/>
        </w:rPr>
        <w:tab/>
      </w:r>
    </w:p>
    <w:p w14:paraId="63E7081E" w14:textId="77777777" w:rsidR="004241C7" w:rsidRDefault="004241C7">
      <w:pPr>
        <w:spacing w:after="0" w:line="240" w:lineRule="auto"/>
        <w:ind w:firstLine="90"/>
        <w:jc w:val="center"/>
        <w:rPr>
          <w:rFonts w:ascii="Times New Roman" w:eastAsia="Times New Roman" w:hAnsi="Times New Roman" w:cs="Times New Roman"/>
          <w:b/>
          <w:sz w:val="28"/>
          <w:szCs w:val="28"/>
        </w:rPr>
      </w:pPr>
    </w:p>
    <w:p w14:paraId="312F5BCA" w14:textId="77777777" w:rsidR="004241C7" w:rsidRDefault="004241C7">
      <w:pPr>
        <w:spacing w:after="0" w:line="240" w:lineRule="auto"/>
        <w:ind w:firstLine="90"/>
        <w:jc w:val="center"/>
        <w:rPr>
          <w:rFonts w:ascii="Times New Roman" w:eastAsia="Times New Roman" w:hAnsi="Times New Roman" w:cs="Times New Roman"/>
          <w:b/>
          <w:sz w:val="28"/>
          <w:szCs w:val="28"/>
        </w:rPr>
      </w:pPr>
    </w:p>
    <w:p w14:paraId="009A449B" w14:textId="698F7807" w:rsidR="00A601B6" w:rsidRPr="007228CE" w:rsidRDefault="003D0490" w:rsidP="00145C74">
      <w:pPr>
        <w:spacing w:after="0"/>
        <w:ind w:left="540"/>
        <w:jc w:val="center"/>
        <w:rPr>
          <w:rFonts w:asciiTheme="minorHAnsi" w:eastAsia="Times New Roman" w:hAnsiTheme="minorHAnsi" w:cs="Times New Roman"/>
        </w:rPr>
      </w:pPr>
      <w:r>
        <w:rPr>
          <w:rFonts w:ascii="Times New Roman" w:eastAsia="Times New Roman" w:hAnsi="Times New Roman" w:cs="Times New Roman"/>
          <w:b/>
          <w:sz w:val="28"/>
          <w:szCs w:val="28"/>
        </w:rPr>
        <w:br w:type="column"/>
      </w:r>
      <w:r w:rsidR="00145C74" w:rsidRPr="007228CE">
        <w:rPr>
          <w:rFonts w:asciiTheme="minorHAnsi" w:eastAsia="Times New Roman" w:hAnsiTheme="minorHAnsi" w:cs="Times New Roman"/>
        </w:rPr>
        <w:lastRenderedPageBreak/>
        <w:t xml:space="preserve"> </w:t>
      </w:r>
    </w:p>
    <w:p w14:paraId="67CBE097" w14:textId="6E21A0FE" w:rsidR="00D56484" w:rsidRDefault="00030D9E" w:rsidP="00BC2C06">
      <w:pPr>
        <w:shd w:val="clear" w:color="auto" w:fill="FFFFFF" w:themeFill="background1"/>
        <w:tabs>
          <w:tab w:val="left" w:pos="2610"/>
          <w:tab w:val="left" w:pos="4050"/>
        </w:tabs>
        <w:spacing w:after="0" w:line="240" w:lineRule="auto"/>
        <w:ind w:left="4050" w:right="5940"/>
        <w:contextualSpacing/>
        <w:jc w:val="center"/>
        <w:rPr>
          <w:rFonts w:ascii="Times New Roman" w:eastAsia="Times New Roman" w:hAnsi="Times New Roman" w:cs="Times New Roman"/>
          <w:b/>
          <w:sz w:val="28"/>
          <w:szCs w:val="28"/>
        </w:rPr>
      </w:pPr>
      <w:r>
        <w:rPr>
          <w:rFonts w:asciiTheme="minorHAnsi" w:eastAsia="Times New Roman" w:hAnsiTheme="minorHAnsi" w:cs="Times New Roman"/>
          <w:b/>
        </w:rPr>
        <w:tab/>
      </w:r>
      <w:r>
        <w:rPr>
          <w:rFonts w:asciiTheme="minorHAnsi" w:eastAsia="Times New Roman" w:hAnsiTheme="minorHAnsi" w:cs="Times New Roman"/>
          <w:b/>
        </w:rPr>
        <w:tab/>
      </w:r>
      <w:r>
        <w:rPr>
          <w:rFonts w:asciiTheme="minorHAnsi" w:eastAsia="Times New Roman" w:hAnsiTheme="minorHAnsi" w:cs="Times New Roman"/>
          <w:b/>
        </w:rPr>
        <w:tab/>
      </w:r>
    </w:p>
    <w:p w14:paraId="7BCB2EFE" w14:textId="23BD1CB5" w:rsidR="004F6012" w:rsidRDefault="004F6012" w:rsidP="008B39B8">
      <w:pPr>
        <w:spacing w:after="0" w:line="240" w:lineRule="auto"/>
        <w:ind w:firstLine="90"/>
        <w:jc w:val="center"/>
        <w:rPr>
          <w:rFonts w:asciiTheme="minorHAnsi" w:eastAsia="Times New Roman" w:hAnsiTheme="minorHAnsi" w:cs="Times New Roman"/>
          <w:b/>
          <w:sz w:val="32"/>
          <w:szCs w:val="32"/>
        </w:rPr>
      </w:pPr>
    </w:p>
    <w:p w14:paraId="42C638B8" w14:textId="77777777" w:rsidR="004F6012" w:rsidRDefault="004F6012" w:rsidP="008B39B8">
      <w:pPr>
        <w:spacing w:after="0" w:line="240" w:lineRule="auto"/>
        <w:ind w:firstLine="90"/>
        <w:jc w:val="center"/>
        <w:rPr>
          <w:rFonts w:asciiTheme="minorHAnsi" w:eastAsia="Times New Roman" w:hAnsiTheme="minorHAnsi" w:cs="Times New Roman"/>
          <w:b/>
          <w:sz w:val="32"/>
          <w:szCs w:val="32"/>
        </w:rPr>
      </w:pPr>
    </w:p>
    <w:p w14:paraId="6CD3B0AE" w14:textId="77777777" w:rsidR="00842245" w:rsidRDefault="00842245" w:rsidP="008B39B8">
      <w:pPr>
        <w:spacing w:after="0" w:line="240" w:lineRule="auto"/>
        <w:ind w:firstLine="90"/>
        <w:jc w:val="center"/>
        <w:rPr>
          <w:rFonts w:asciiTheme="minorHAnsi" w:eastAsia="Times New Roman" w:hAnsiTheme="minorHAnsi" w:cs="Times New Roman"/>
          <w:b/>
          <w:sz w:val="32"/>
          <w:szCs w:val="32"/>
        </w:rPr>
      </w:pPr>
    </w:p>
    <w:p w14:paraId="32DD2ED7" w14:textId="3CD6CAF9" w:rsidR="00A4019E" w:rsidRPr="00233524" w:rsidRDefault="009C2CF0" w:rsidP="008B39B8">
      <w:pPr>
        <w:spacing w:after="0" w:line="240" w:lineRule="auto"/>
        <w:ind w:firstLine="90"/>
        <w:jc w:val="center"/>
        <w:rPr>
          <w:rFonts w:asciiTheme="minorHAnsi" w:eastAsia="Times New Roman" w:hAnsiTheme="minorHAnsi" w:cs="Times New Roman"/>
          <w:b/>
          <w:sz w:val="32"/>
          <w:szCs w:val="32"/>
        </w:rPr>
      </w:pPr>
      <w:r w:rsidRPr="00233524">
        <w:rPr>
          <w:rFonts w:asciiTheme="minorHAnsi" w:eastAsia="Times New Roman" w:hAnsiTheme="minorHAnsi" w:cs="Times New Roman"/>
          <w:b/>
          <w:sz w:val="32"/>
          <w:szCs w:val="32"/>
        </w:rPr>
        <w:t>CONTENTS</w:t>
      </w:r>
    </w:p>
    <w:p w14:paraId="70D4951B" w14:textId="03CA8663" w:rsidR="004F6012" w:rsidRPr="005D00E6" w:rsidRDefault="00074C4A" w:rsidP="00074C4A">
      <w:pPr>
        <w:pStyle w:val="Heading1"/>
        <w:spacing w:before="240" w:after="0"/>
        <w:ind w:left="1440"/>
        <w:rPr>
          <w:sz w:val="28"/>
          <w:szCs w:val="28"/>
        </w:rPr>
      </w:pPr>
      <w:r>
        <w:rPr>
          <w:sz w:val="28"/>
          <w:szCs w:val="28"/>
        </w:rPr>
        <w:t xml:space="preserve">   </w:t>
      </w:r>
      <w:r w:rsidR="005D00E6" w:rsidRPr="005D00E6">
        <w:rPr>
          <w:sz w:val="28"/>
          <w:szCs w:val="28"/>
        </w:rPr>
        <w:t>C</w:t>
      </w:r>
      <w:r w:rsidR="008F46B6" w:rsidRPr="005D00E6">
        <w:rPr>
          <w:sz w:val="28"/>
          <w:szCs w:val="28"/>
        </w:rPr>
        <w:t>ommon language</w:t>
      </w:r>
      <w:r w:rsidR="005D00E6">
        <w:rPr>
          <w:sz w:val="28"/>
          <w:szCs w:val="28"/>
        </w:rPr>
        <w:tab/>
      </w:r>
      <w:r w:rsidR="005D00E6">
        <w:rPr>
          <w:sz w:val="28"/>
          <w:szCs w:val="28"/>
        </w:rPr>
        <w:tab/>
      </w:r>
      <w:r w:rsidR="005D00E6">
        <w:rPr>
          <w:sz w:val="28"/>
          <w:szCs w:val="28"/>
        </w:rPr>
        <w:tab/>
      </w:r>
      <w:r w:rsidR="005D00E6">
        <w:rPr>
          <w:sz w:val="28"/>
          <w:szCs w:val="28"/>
        </w:rPr>
        <w:tab/>
      </w:r>
      <w:r w:rsidR="005D00E6">
        <w:rPr>
          <w:sz w:val="28"/>
          <w:szCs w:val="28"/>
        </w:rPr>
        <w:tab/>
      </w:r>
      <w:r w:rsidR="005D00E6">
        <w:rPr>
          <w:sz w:val="28"/>
          <w:szCs w:val="28"/>
        </w:rPr>
        <w:tab/>
      </w:r>
      <w:r w:rsidR="005D00E6">
        <w:rPr>
          <w:sz w:val="28"/>
          <w:szCs w:val="28"/>
        </w:rPr>
        <w:tab/>
      </w:r>
      <w:r w:rsidR="005D00E6">
        <w:rPr>
          <w:sz w:val="28"/>
          <w:szCs w:val="28"/>
        </w:rPr>
        <w:tab/>
      </w:r>
      <w:r w:rsidR="005D00E6">
        <w:rPr>
          <w:sz w:val="28"/>
          <w:szCs w:val="28"/>
        </w:rPr>
        <w:tab/>
      </w:r>
      <w:r w:rsidR="005D00E6">
        <w:rPr>
          <w:sz w:val="28"/>
          <w:szCs w:val="28"/>
        </w:rPr>
        <w:tab/>
      </w:r>
      <w:r w:rsidR="008F46B6" w:rsidRPr="005D00E6">
        <w:rPr>
          <w:rFonts w:asciiTheme="minorHAnsi" w:eastAsia="Times New Roman" w:hAnsiTheme="minorHAnsi" w:cs="Times New Roman"/>
          <w:b w:val="0"/>
          <w:sz w:val="28"/>
          <w:szCs w:val="28"/>
        </w:rPr>
        <w:tab/>
      </w:r>
      <w:r w:rsidR="00FC6223" w:rsidRPr="005D00E6">
        <w:rPr>
          <w:rFonts w:asciiTheme="minorHAnsi" w:eastAsia="Times New Roman" w:hAnsiTheme="minorHAnsi" w:cs="Times New Roman"/>
          <w:b w:val="0"/>
          <w:sz w:val="28"/>
          <w:szCs w:val="28"/>
        </w:rPr>
        <w:t xml:space="preserve">  </w:t>
      </w:r>
      <w:r w:rsidR="008F46B6" w:rsidRPr="007B2BC3">
        <w:rPr>
          <w:rFonts w:asciiTheme="minorHAnsi" w:eastAsia="Times New Roman" w:hAnsiTheme="minorHAnsi" w:cs="Times New Roman"/>
          <w:sz w:val="28"/>
          <w:szCs w:val="28"/>
        </w:rPr>
        <w:t>3</w:t>
      </w:r>
    </w:p>
    <w:p w14:paraId="26691676" w14:textId="0380ACFA" w:rsidR="004F6012" w:rsidRPr="005D00E6" w:rsidRDefault="005D00E6" w:rsidP="00074C4A">
      <w:pPr>
        <w:tabs>
          <w:tab w:val="left" w:pos="1620"/>
          <w:tab w:val="left" w:pos="11520"/>
        </w:tabs>
        <w:spacing w:after="0"/>
        <w:ind w:right="1710"/>
        <w:rPr>
          <w:rFonts w:asciiTheme="minorHAnsi" w:eastAsia="Times New Roman" w:hAnsiTheme="minorHAnsi" w:cs="Times New Roman"/>
          <w:b/>
          <w:sz w:val="28"/>
          <w:szCs w:val="28"/>
        </w:rPr>
      </w:pPr>
      <w:r>
        <w:rPr>
          <w:rFonts w:asciiTheme="minorHAnsi" w:eastAsia="Times New Roman" w:hAnsiTheme="minorHAnsi" w:cs="Times New Roman"/>
          <w:b/>
          <w:sz w:val="28"/>
          <w:szCs w:val="28"/>
        </w:rPr>
        <w:tab/>
      </w:r>
      <w:r w:rsidRPr="005D00E6">
        <w:rPr>
          <w:rFonts w:asciiTheme="minorHAnsi" w:eastAsia="Times New Roman" w:hAnsiTheme="minorHAnsi" w:cs="Times New Roman"/>
          <w:b/>
          <w:sz w:val="28"/>
          <w:szCs w:val="28"/>
        </w:rPr>
        <w:t>N</w:t>
      </w:r>
      <w:r w:rsidR="008F46B6" w:rsidRPr="005D00E6">
        <w:rPr>
          <w:rFonts w:asciiTheme="minorHAnsi" w:eastAsia="Times New Roman" w:hAnsiTheme="minorHAnsi" w:cs="Times New Roman"/>
          <w:b/>
          <w:sz w:val="28"/>
          <w:szCs w:val="28"/>
        </w:rPr>
        <w:t>imble end-to-end quality assurance processes</w:t>
      </w:r>
      <w:r w:rsidR="004F6012" w:rsidRPr="005D00E6">
        <w:rPr>
          <w:rFonts w:asciiTheme="minorHAnsi" w:eastAsia="Times New Roman" w:hAnsiTheme="minorHAnsi" w:cs="Times New Roman"/>
          <w:b/>
          <w:sz w:val="28"/>
          <w:szCs w:val="28"/>
        </w:rPr>
        <w:tab/>
      </w:r>
      <w:r w:rsidR="00FC6223" w:rsidRPr="005D00E6">
        <w:rPr>
          <w:rFonts w:asciiTheme="minorHAnsi" w:eastAsia="Times New Roman" w:hAnsiTheme="minorHAnsi" w:cs="Times New Roman"/>
          <w:b/>
          <w:sz w:val="28"/>
          <w:szCs w:val="28"/>
        </w:rPr>
        <w:t xml:space="preserve">  </w:t>
      </w:r>
      <w:r w:rsidR="007D21CF" w:rsidRPr="005D00E6">
        <w:rPr>
          <w:rFonts w:asciiTheme="minorHAnsi" w:eastAsia="Times New Roman" w:hAnsiTheme="minorHAnsi" w:cs="Times New Roman"/>
          <w:b/>
          <w:sz w:val="28"/>
          <w:szCs w:val="28"/>
        </w:rPr>
        <w:t>5</w:t>
      </w:r>
    </w:p>
    <w:p w14:paraId="288F64D7" w14:textId="5CFBEE73" w:rsidR="004F6012" w:rsidRPr="005D00E6" w:rsidRDefault="005D00E6" w:rsidP="00074C4A">
      <w:pPr>
        <w:tabs>
          <w:tab w:val="left" w:pos="1620"/>
          <w:tab w:val="left" w:pos="11520"/>
        </w:tabs>
        <w:spacing w:after="0"/>
        <w:ind w:right="1710"/>
        <w:rPr>
          <w:rFonts w:asciiTheme="minorHAnsi" w:eastAsia="Times New Roman" w:hAnsiTheme="minorHAnsi" w:cs="Times New Roman"/>
          <w:b/>
          <w:sz w:val="28"/>
          <w:szCs w:val="28"/>
        </w:rPr>
      </w:pPr>
      <w:r>
        <w:rPr>
          <w:b/>
          <w:sz w:val="28"/>
          <w:szCs w:val="28"/>
        </w:rPr>
        <w:tab/>
      </w:r>
      <w:r w:rsidRPr="005D00E6">
        <w:rPr>
          <w:b/>
          <w:sz w:val="28"/>
          <w:szCs w:val="28"/>
        </w:rPr>
        <w:t xml:space="preserve">Scalable </w:t>
      </w:r>
      <w:r w:rsidR="007D21CF" w:rsidRPr="005D00E6">
        <w:rPr>
          <w:b/>
          <w:sz w:val="28"/>
          <w:szCs w:val="28"/>
        </w:rPr>
        <w:t>employer engagement approaches</w:t>
      </w:r>
      <w:r w:rsidR="004F6012" w:rsidRPr="005D00E6">
        <w:rPr>
          <w:rFonts w:asciiTheme="minorHAnsi" w:eastAsia="Times New Roman" w:hAnsiTheme="minorHAnsi" w:cs="Times New Roman"/>
          <w:b/>
          <w:sz w:val="28"/>
          <w:szCs w:val="28"/>
        </w:rPr>
        <w:tab/>
      </w:r>
      <w:r w:rsidR="00FC6223" w:rsidRPr="005D00E6">
        <w:rPr>
          <w:rFonts w:asciiTheme="minorHAnsi" w:eastAsia="Times New Roman" w:hAnsiTheme="minorHAnsi" w:cs="Times New Roman"/>
          <w:b/>
          <w:sz w:val="28"/>
          <w:szCs w:val="28"/>
        </w:rPr>
        <w:t xml:space="preserve">  </w:t>
      </w:r>
      <w:r w:rsidR="007B2BC3">
        <w:rPr>
          <w:rFonts w:asciiTheme="minorHAnsi" w:eastAsia="Times New Roman" w:hAnsiTheme="minorHAnsi" w:cs="Times New Roman"/>
          <w:b/>
          <w:sz w:val="28"/>
          <w:szCs w:val="28"/>
        </w:rPr>
        <w:t>6</w:t>
      </w:r>
    </w:p>
    <w:p w14:paraId="201C59E2" w14:textId="16057EB4" w:rsidR="004F6012" w:rsidRPr="005D00E6" w:rsidRDefault="007B2BC3" w:rsidP="00074C4A">
      <w:pPr>
        <w:tabs>
          <w:tab w:val="left" w:pos="1620"/>
          <w:tab w:val="left" w:pos="11520"/>
        </w:tabs>
        <w:spacing w:after="0"/>
        <w:ind w:right="1710"/>
        <w:rPr>
          <w:rFonts w:asciiTheme="minorHAnsi" w:eastAsia="Times New Roman" w:hAnsiTheme="minorHAnsi" w:cs="Times New Roman"/>
          <w:b/>
          <w:sz w:val="28"/>
          <w:szCs w:val="28"/>
        </w:rPr>
      </w:pPr>
      <w:r>
        <w:rPr>
          <w:rFonts w:asciiTheme="minorHAnsi" w:eastAsia="Times New Roman" w:hAnsiTheme="minorHAnsi" w:cs="Times New Roman"/>
          <w:b/>
          <w:sz w:val="28"/>
          <w:szCs w:val="28"/>
        </w:rPr>
        <w:tab/>
        <w:t>Flexible Pathways</w:t>
      </w:r>
      <w:r>
        <w:rPr>
          <w:rFonts w:asciiTheme="minorHAnsi" w:eastAsia="Times New Roman" w:hAnsiTheme="minorHAnsi" w:cs="Times New Roman"/>
          <w:b/>
          <w:sz w:val="28"/>
          <w:szCs w:val="28"/>
        </w:rPr>
        <w:tab/>
        <w:t xml:space="preserve">  10</w:t>
      </w:r>
    </w:p>
    <w:p w14:paraId="7AB0FB67" w14:textId="7BBC3FED" w:rsidR="004F6012" w:rsidRPr="005D00E6" w:rsidRDefault="00074C4A" w:rsidP="00074C4A">
      <w:pPr>
        <w:tabs>
          <w:tab w:val="left" w:pos="1620"/>
          <w:tab w:val="left" w:pos="11520"/>
        </w:tabs>
        <w:spacing w:after="0"/>
        <w:ind w:right="1710"/>
        <w:rPr>
          <w:rFonts w:asciiTheme="minorHAnsi" w:eastAsia="Times New Roman" w:hAnsiTheme="minorHAnsi" w:cs="Times New Roman"/>
          <w:b/>
          <w:sz w:val="28"/>
          <w:szCs w:val="28"/>
        </w:rPr>
      </w:pPr>
      <w:r>
        <w:rPr>
          <w:rFonts w:asciiTheme="minorHAnsi" w:eastAsia="Times New Roman" w:hAnsiTheme="minorHAnsi" w:cs="Times New Roman"/>
          <w:b/>
          <w:sz w:val="28"/>
          <w:szCs w:val="28"/>
        </w:rPr>
        <w:tab/>
        <w:t>Data and Technology</w:t>
      </w:r>
      <w:r w:rsidR="007B2BC3">
        <w:rPr>
          <w:rFonts w:asciiTheme="minorHAnsi" w:eastAsia="Times New Roman" w:hAnsiTheme="minorHAnsi" w:cs="Times New Roman"/>
          <w:b/>
          <w:sz w:val="28"/>
          <w:szCs w:val="28"/>
        </w:rPr>
        <w:tab/>
        <w:t xml:space="preserve">  14</w:t>
      </w:r>
    </w:p>
    <w:p w14:paraId="3844045E" w14:textId="77777777" w:rsidR="00821E75" w:rsidRDefault="00821E75" w:rsidP="004F6012">
      <w:pPr>
        <w:tabs>
          <w:tab w:val="left" w:pos="1620"/>
          <w:tab w:val="left" w:pos="12510"/>
        </w:tabs>
        <w:spacing w:after="0" w:line="240" w:lineRule="auto"/>
        <w:ind w:left="360"/>
        <w:rPr>
          <w:rFonts w:asciiTheme="minorHAnsi" w:eastAsia="Times New Roman" w:hAnsiTheme="minorHAnsi" w:cs="Times New Roman"/>
          <w:b/>
          <w:sz w:val="28"/>
          <w:szCs w:val="28"/>
        </w:rPr>
      </w:pPr>
    </w:p>
    <w:p w14:paraId="24685155" w14:textId="77777777" w:rsidR="00821E75" w:rsidRDefault="00821E75" w:rsidP="00030965">
      <w:pPr>
        <w:tabs>
          <w:tab w:val="left" w:pos="1620"/>
        </w:tabs>
        <w:spacing w:after="0" w:line="240" w:lineRule="auto"/>
        <w:rPr>
          <w:rFonts w:asciiTheme="minorHAnsi" w:eastAsia="Times New Roman" w:hAnsiTheme="minorHAnsi" w:cs="Times New Roman"/>
          <w:b/>
          <w:sz w:val="28"/>
          <w:szCs w:val="28"/>
        </w:rPr>
      </w:pPr>
    </w:p>
    <w:p w14:paraId="5105012B" w14:textId="77777777" w:rsidR="00821E75" w:rsidRDefault="00821E75" w:rsidP="00030965">
      <w:pPr>
        <w:tabs>
          <w:tab w:val="left" w:pos="1620"/>
        </w:tabs>
        <w:spacing w:after="0" w:line="240" w:lineRule="auto"/>
        <w:rPr>
          <w:rFonts w:asciiTheme="minorHAnsi" w:eastAsia="Times New Roman" w:hAnsiTheme="minorHAnsi" w:cs="Times New Roman"/>
          <w:b/>
          <w:sz w:val="28"/>
          <w:szCs w:val="28"/>
        </w:rPr>
      </w:pPr>
    </w:p>
    <w:p w14:paraId="770A8958" w14:textId="71BEFF1D" w:rsidR="007A23FE" w:rsidRPr="001142F7" w:rsidRDefault="00932575" w:rsidP="008C3E12">
      <w:pPr>
        <w:tabs>
          <w:tab w:val="left" w:pos="630"/>
        </w:tabs>
        <w:spacing w:after="0" w:line="240" w:lineRule="auto"/>
        <w:ind w:right="-180" w:hanging="90"/>
        <w:jc w:val="center"/>
        <w:rPr>
          <w:rFonts w:asciiTheme="minorHAnsi" w:eastAsia="Times New Roman" w:hAnsiTheme="minorHAnsi" w:cs="Times New Roman"/>
          <w:b/>
          <w:sz w:val="28"/>
          <w:szCs w:val="28"/>
          <w:shd w:val="clear" w:color="auto" w:fill="FFFFFF" w:themeFill="background1"/>
        </w:rPr>
      </w:pPr>
      <w:r>
        <w:rPr>
          <w:rFonts w:asciiTheme="minorHAnsi" w:eastAsia="Times New Roman" w:hAnsiTheme="minorHAnsi" w:cs="Times New Roman"/>
          <w:b/>
          <w:sz w:val="28"/>
          <w:szCs w:val="28"/>
        </w:rPr>
        <w:br w:type="column"/>
      </w:r>
      <w:r w:rsidR="008F46B6">
        <w:rPr>
          <w:rFonts w:asciiTheme="minorHAnsi" w:eastAsia="Times New Roman" w:hAnsiTheme="minorHAnsi" w:cs="Times New Roman"/>
          <w:b/>
          <w:sz w:val="28"/>
          <w:szCs w:val="28"/>
          <w:shd w:val="clear" w:color="auto" w:fill="FFFFFF" w:themeFill="background1"/>
        </w:rPr>
        <w:lastRenderedPageBreak/>
        <w:t>Initial List of</w:t>
      </w:r>
      <w:r w:rsidR="00D824AB" w:rsidRPr="001142F7">
        <w:rPr>
          <w:rFonts w:asciiTheme="minorHAnsi" w:eastAsia="Times New Roman" w:hAnsiTheme="minorHAnsi" w:cs="Times New Roman"/>
          <w:b/>
          <w:sz w:val="28"/>
          <w:szCs w:val="28"/>
          <w:shd w:val="clear" w:color="auto" w:fill="FFFFFF" w:themeFill="background1"/>
        </w:rPr>
        <w:t xml:space="preserve"> </w:t>
      </w:r>
      <w:r w:rsidR="006973D0" w:rsidRPr="001142F7">
        <w:rPr>
          <w:rFonts w:asciiTheme="minorHAnsi" w:eastAsia="Times New Roman" w:hAnsiTheme="minorHAnsi" w:cs="Times New Roman"/>
          <w:b/>
          <w:sz w:val="28"/>
          <w:szCs w:val="28"/>
          <w:shd w:val="clear" w:color="auto" w:fill="FFFFFF" w:themeFill="background1"/>
        </w:rPr>
        <w:t>I</w:t>
      </w:r>
      <w:r w:rsidR="00D824AB" w:rsidRPr="001142F7">
        <w:rPr>
          <w:rFonts w:asciiTheme="minorHAnsi" w:eastAsia="Times New Roman" w:hAnsiTheme="minorHAnsi" w:cs="Times New Roman"/>
          <w:b/>
          <w:sz w:val="28"/>
          <w:szCs w:val="28"/>
          <w:shd w:val="clear" w:color="auto" w:fill="FFFFFF" w:themeFill="background1"/>
        </w:rPr>
        <w:t xml:space="preserve">nnovations </w:t>
      </w:r>
      <w:r w:rsidR="008F46B6">
        <w:rPr>
          <w:rFonts w:asciiTheme="minorHAnsi" w:eastAsia="Times New Roman" w:hAnsiTheme="minorHAnsi" w:cs="Times New Roman"/>
          <w:b/>
          <w:sz w:val="28"/>
          <w:szCs w:val="28"/>
          <w:shd w:val="clear" w:color="auto" w:fill="FFFFFF" w:themeFill="background1"/>
        </w:rPr>
        <w:t xml:space="preserve">Related to </w:t>
      </w:r>
      <w:r w:rsidR="008F46B6" w:rsidRPr="008F46B6">
        <w:rPr>
          <w:rFonts w:asciiTheme="minorHAnsi" w:eastAsia="Times New Roman" w:hAnsiTheme="minorHAnsi" w:cs="Times New Roman"/>
          <w:b/>
          <w:sz w:val="28"/>
          <w:szCs w:val="28"/>
          <w:shd w:val="clear" w:color="auto" w:fill="FFFFFF" w:themeFill="background1"/>
        </w:rPr>
        <w:t xml:space="preserve">Scope </w:t>
      </w:r>
      <w:r w:rsidR="008F46B6">
        <w:rPr>
          <w:rFonts w:asciiTheme="minorHAnsi" w:eastAsia="Times New Roman" w:hAnsiTheme="minorHAnsi" w:cs="Times New Roman"/>
          <w:b/>
          <w:sz w:val="28"/>
          <w:szCs w:val="28"/>
          <w:shd w:val="clear" w:color="auto" w:fill="FFFFFF" w:themeFill="background1"/>
        </w:rPr>
        <w:t>of Work Group Action</w:t>
      </w:r>
    </w:p>
    <w:p w14:paraId="6A43FE4F" w14:textId="77777777" w:rsidR="00897513" w:rsidRDefault="00897513">
      <w:pPr>
        <w:spacing w:after="0" w:line="240" w:lineRule="auto"/>
        <w:jc w:val="center"/>
      </w:pPr>
    </w:p>
    <w:tbl>
      <w:tblPr>
        <w:tblStyle w:val="1"/>
        <w:tblW w:w="14310" w:type="dxa"/>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44" w:type="dxa"/>
          <w:right w:w="144" w:type="dxa"/>
        </w:tblCellMar>
        <w:tblLook w:val="0400" w:firstRow="0" w:lastRow="0" w:firstColumn="0" w:lastColumn="0" w:noHBand="0" w:noVBand="1"/>
      </w:tblPr>
      <w:tblGrid>
        <w:gridCol w:w="1710"/>
        <w:gridCol w:w="540"/>
        <w:gridCol w:w="9810"/>
        <w:gridCol w:w="2250"/>
      </w:tblGrid>
      <w:tr w:rsidR="003F36EA" w14:paraId="1146455C" w14:textId="77777777" w:rsidTr="00210234">
        <w:trPr>
          <w:trHeight w:val="503"/>
        </w:trPr>
        <w:tc>
          <w:tcPr>
            <w:tcW w:w="1710" w:type="dxa"/>
            <w:shd w:val="clear" w:color="auto" w:fill="FFFFFF" w:themeFill="background1"/>
          </w:tcPr>
          <w:p w14:paraId="17295891" w14:textId="77777777" w:rsidR="00413DDA" w:rsidRPr="00602FA1" w:rsidRDefault="004A0955" w:rsidP="0045113C">
            <w:pPr>
              <w:jc w:val="center"/>
              <w:rPr>
                <w:rFonts w:asciiTheme="minorHAnsi" w:hAnsiTheme="minorHAnsi" w:cs="Times New Roman"/>
                <w:i/>
                <w:sz w:val="20"/>
                <w:szCs w:val="20"/>
              </w:rPr>
            </w:pPr>
            <w:bookmarkStart w:id="0" w:name="h.gjdgxs" w:colFirst="0" w:colLast="0"/>
            <w:bookmarkEnd w:id="0"/>
            <w:r w:rsidRPr="00602FA1">
              <w:rPr>
                <w:rFonts w:asciiTheme="minorHAnsi" w:hAnsiTheme="minorHAnsi" w:cs="Times New Roman"/>
                <w:i/>
                <w:sz w:val="20"/>
                <w:szCs w:val="20"/>
              </w:rPr>
              <w:t xml:space="preserve">Type of </w:t>
            </w:r>
          </w:p>
          <w:p w14:paraId="4D801AF4" w14:textId="28375EF6" w:rsidR="002F2B1F" w:rsidRPr="00602FA1" w:rsidRDefault="004A0955" w:rsidP="0045113C">
            <w:pPr>
              <w:jc w:val="center"/>
              <w:rPr>
                <w:rFonts w:asciiTheme="minorHAnsi" w:hAnsiTheme="minorHAnsi" w:cs="Times New Roman"/>
                <w:i/>
                <w:sz w:val="20"/>
                <w:szCs w:val="20"/>
              </w:rPr>
            </w:pPr>
            <w:r w:rsidRPr="00602FA1">
              <w:rPr>
                <w:rFonts w:asciiTheme="minorHAnsi" w:hAnsiTheme="minorHAnsi" w:cs="Times New Roman"/>
                <w:i/>
                <w:sz w:val="20"/>
                <w:szCs w:val="20"/>
              </w:rPr>
              <w:t>innovation</w:t>
            </w:r>
          </w:p>
        </w:tc>
        <w:tc>
          <w:tcPr>
            <w:tcW w:w="540" w:type="dxa"/>
            <w:shd w:val="clear" w:color="auto" w:fill="FFFFFF" w:themeFill="background1"/>
          </w:tcPr>
          <w:p w14:paraId="5CDD9B7E" w14:textId="77777777" w:rsidR="00DD4212" w:rsidRPr="00602FA1" w:rsidRDefault="00DD4212" w:rsidP="005E223B">
            <w:pPr>
              <w:rPr>
                <w:rFonts w:asciiTheme="minorHAnsi" w:eastAsia="Times New Roman" w:hAnsiTheme="minorHAnsi" w:cs="Times New Roman"/>
                <w:i/>
                <w:sz w:val="20"/>
                <w:szCs w:val="20"/>
              </w:rPr>
            </w:pPr>
          </w:p>
          <w:p w14:paraId="24F40817" w14:textId="7186D671" w:rsidR="002F2B1F" w:rsidRPr="00602FA1" w:rsidRDefault="005E223B" w:rsidP="005E223B">
            <w:pPr>
              <w:rPr>
                <w:rFonts w:asciiTheme="minorHAnsi" w:eastAsia="Times New Roman" w:hAnsiTheme="minorHAnsi" w:cs="Times New Roman"/>
                <w:i/>
                <w:sz w:val="20"/>
                <w:szCs w:val="20"/>
              </w:rPr>
            </w:pPr>
            <w:r w:rsidRPr="00602FA1">
              <w:rPr>
                <w:rFonts w:asciiTheme="minorHAnsi" w:eastAsia="Times New Roman" w:hAnsiTheme="minorHAnsi" w:cs="Times New Roman"/>
                <w:i/>
                <w:sz w:val="20"/>
                <w:szCs w:val="20"/>
              </w:rPr>
              <w:t xml:space="preserve"> </w:t>
            </w:r>
            <w:r w:rsidR="002475D1" w:rsidRPr="00602FA1">
              <w:rPr>
                <w:rFonts w:asciiTheme="minorHAnsi" w:eastAsia="Times New Roman" w:hAnsiTheme="minorHAnsi" w:cs="Times New Roman"/>
                <w:b/>
                <w:i/>
                <w:sz w:val="20"/>
                <w:szCs w:val="20"/>
              </w:rPr>
              <w:t>#</w:t>
            </w:r>
          </w:p>
        </w:tc>
        <w:tc>
          <w:tcPr>
            <w:tcW w:w="9810" w:type="dxa"/>
            <w:shd w:val="clear" w:color="auto" w:fill="FFFFFF" w:themeFill="background1"/>
          </w:tcPr>
          <w:p w14:paraId="5FA4FF66" w14:textId="77777777" w:rsidR="00BB0A29" w:rsidRPr="00602FA1" w:rsidRDefault="00533033" w:rsidP="008C3FDD">
            <w:pPr>
              <w:jc w:val="center"/>
              <w:rPr>
                <w:rFonts w:asciiTheme="minorHAnsi" w:hAnsiTheme="minorHAnsi" w:cs="Times New Roman"/>
                <w:i/>
                <w:sz w:val="20"/>
                <w:szCs w:val="20"/>
              </w:rPr>
            </w:pPr>
            <w:r w:rsidRPr="00602FA1">
              <w:rPr>
                <w:rFonts w:asciiTheme="minorHAnsi" w:hAnsiTheme="minorHAnsi" w:cs="Times New Roman"/>
                <w:i/>
                <w:sz w:val="20"/>
                <w:szCs w:val="20"/>
              </w:rPr>
              <w:t xml:space="preserve">Brief </w:t>
            </w:r>
          </w:p>
          <w:p w14:paraId="7D96F8B1" w14:textId="57E6E8A9" w:rsidR="002F2B1F" w:rsidRPr="00602FA1" w:rsidRDefault="002475D1" w:rsidP="008C3FDD">
            <w:pPr>
              <w:jc w:val="center"/>
              <w:rPr>
                <w:rFonts w:asciiTheme="minorHAnsi" w:hAnsiTheme="minorHAnsi" w:cs="Times New Roman"/>
                <w:i/>
                <w:sz w:val="20"/>
                <w:szCs w:val="20"/>
              </w:rPr>
            </w:pPr>
            <w:r w:rsidRPr="00602FA1">
              <w:rPr>
                <w:rFonts w:asciiTheme="minorHAnsi" w:hAnsiTheme="minorHAnsi" w:cs="Times New Roman"/>
                <w:i/>
                <w:sz w:val="20"/>
                <w:szCs w:val="20"/>
              </w:rPr>
              <w:t>Description</w:t>
            </w:r>
          </w:p>
        </w:tc>
        <w:tc>
          <w:tcPr>
            <w:tcW w:w="2250" w:type="dxa"/>
            <w:shd w:val="clear" w:color="auto" w:fill="FFFFFF" w:themeFill="background1"/>
          </w:tcPr>
          <w:p w14:paraId="23CF8F4B" w14:textId="77777777" w:rsidR="00DF2174" w:rsidRPr="00602FA1" w:rsidRDefault="002F2B1F">
            <w:pPr>
              <w:jc w:val="center"/>
              <w:rPr>
                <w:rFonts w:asciiTheme="minorHAnsi" w:eastAsia="Times New Roman" w:hAnsiTheme="minorHAnsi" w:cs="Times New Roman"/>
                <w:i/>
                <w:sz w:val="20"/>
                <w:szCs w:val="20"/>
              </w:rPr>
            </w:pPr>
            <w:r w:rsidRPr="00602FA1">
              <w:rPr>
                <w:rFonts w:asciiTheme="minorHAnsi" w:eastAsia="Times New Roman" w:hAnsiTheme="minorHAnsi" w:cs="Times New Roman"/>
                <w:i/>
                <w:sz w:val="20"/>
                <w:szCs w:val="20"/>
              </w:rPr>
              <w:t>Organization</w:t>
            </w:r>
            <w:r w:rsidR="00BD793F" w:rsidRPr="00602FA1">
              <w:rPr>
                <w:rFonts w:asciiTheme="minorHAnsi" w:eastAsia="Times New Roman" w:hAnsiTheme="minorHAnsi" w:cs="Times New Roman"/>
                <w:i/>
                <w:sz w:val="20"/>
                <w:szCs w:val="20"/>
              </w:rPr>
              <w:t xml:space="preserve">(s) </w:t>
            </w:r>
            <w:r w:rsidRPr="00602FA1">
              <w:rPr>
                <w:rFonts w:asciiTheme="minorHAnsi" w:eastAsia="Times New Roman" w:hAnsiTheme="minorHAnsi" w:cs="Times New Roman"/>
                <w:i/>
                <w:sz w:val="20"/>
                <w:szCs w:val="20"/>
              </w:rPr>
              <w:t xml:space="preserve"> and </w:t>
            </w:r>
          </w:p>
          <w:p w14:paraId="6CB906C9" w14:textId="77777777" w:rsidR="002F2B1F" w:rsidRPr="00602FA1" w:rsidRDefault="002F2B1F">
            <w:pPr>
              <w:jc w:val="center"/>
              <w:rPr>
                <w:rFonts w:asciiTheme="minorHAnsi" w:hAnsiTheme="minorHAnsi" w:cs="Times New Roman"/>
                <w:i/>
                <w:sz w:val="20"/>
                <w:szCs w:val="20"/>
              </w:rPr>
            </w:pPr>
            <w:r w:rsidRPr="00602FA1">
              <w:rPr>
                <w:rFonts w:asciiTheme="minorHAnsi" w:eastAsia="Times New Roman" w:hAnsiTheme="minorHAnsi" w:cs="Times New Roman"/>
                <w:i/>
                <w:sz w:val="20"/>
                <w:szCs w:val="20"/>
              </w:rPr>
              <w:t>Funding source(s)</w:t>
            </w:r>
          </w:p>
        </w:tc>
      </w:tr>
      <w:tr w:rsidR="00F046D5" w14:paraId="6E0B93E4" w14:textId="77777777" w:rsidTr="00210234">
        <w:trPr>
          <w:trHeight w:val="692"/>
        </w:trPr>
        <w:tc>
          <w:tcPr>
            <w:tcW w:w="14310" w:type="dxa"/>
            <w:gridSpan w:val="4"/>
            <w:shd w:val="clear" w:color="auto" w:fill="EAF1DD" w:themeFill="accent3" w:themeFillTint="33"/>
          </w:tcPr>
          <w:p w14:paraId="33CF55BF" w14:textId="77777777" w:rsidR="003677F0" w:rsidRDefault="00145C74" w:rsidP="005E223B">
            <w:pPr>
              <w:pStyle w:val="Heading1"/>
              <w:spacing w:before="240" w:after="0"/>
              <w:ind w:left="288"/>
              <w:jc w:val="center"/>
              <w:outlineLvl w:val="0"/>
              <w:rPr>
                <w:sz w:val="24"/>
                <w:szCs w:val="24"/>
              </w:rPr>
            </w:pPr>
            <w:r w:rsidRPr="00CD40AB">
              <w:rPr>
                <w:sz w:val="24"/>
                <w:szCs w:val="24"/>
              </w:rPr>
              <w:t>Develop common language to serve as the basis for a connected credentialing system</w:t>
            </w:r>
          </w:p>
          <w:p w14:paraId="6CC4FA24" w14:textId="6461A81C" w:rsidR="00145C74" w:rsidRDefault="00D6735E" w:rsidP="008F46B6">
            <w:pPr>
              <w:pStyle w:val="ListParagraph"/>
              <w:numPr>
                <w:ilvl w:val="0"/>
                <w:numId w:val="43"/>
              </w:numPr>
            </w:pPr>
            <w:r>
              <w:t>-</w:t>
            </w:r>
            <w:r w:rsidR="00145C74">
              <w:t xml:space="preserve">Develop competency-based communications vehicles that increase transparency among credential issuers, holders, and employers </w:t>
            </w:r>
          </w:p>
          <w:p w14:paraId="5BBD21B3" w14:textId="117B1CDB" w:rsidR="00145C74" w:rsidRDefault="00D6735E" w:rsidP="008F46B6">
            <w:pPr>
              <w:pStyle w:val="ListParagraph"/>
              <w:numPr>
                <w:ilvl w:val="0"/>
                <w:numId w:val="43"/>
              </w:numPr>
            </w:pPr>
            <w:r>
              <w:t>-</w:t>
            </w:r>
            <w:r w:rsidR="00145C74">
              <w:t>Improve the interface of credentials across sectors (military/civilian, industry/academic, etc.)</w:t>
            </w:r>
          </w:p>
          <w:p w14:paraId="5AB3686E" w14:textId="3B0EB980" w:rsidR="00145C74" w:rsidRDefault="00D6735E" w:rsidP="008F46B6">
            <w:pPr>
              <w:pStyle w:val="ListParagraph"/>
              <w:numPr>
                <w:ilvl w:val="0"/>
                <w:numId w:val="43"/>
              </w:numPr>
            </w:pPr>
            <w:r>
              <w:t>-</w:t>
            </w:r>
            <w:r w:rsidR="00145C74">
              <w:t>Develop digital badges to communicate clearly about skills</w:t>
            </w:r>
          </w:p>
          <w:p w14:paraId="6D1C3434" w14:textId="35D126EE" w:rsidR="00145C74" w:rsidRPr="00145C74" w:rsidRDefault="00145C74" w:rsidP="00145C74"/>
        </w:tc>
      </w:tr>
      <w:tr w:rsidR="003F36EA" w14:paraId="7C35DB34" w14:textId="77777777" w:rsidTr="00210234">
        <w:trPr>
          <w:trHeight w:val="746"/>
        </w:trPr>
        <w:tc>
          <w:tcPr>
            <w:tcW w:w="1710" w:type="dxa"/>
            <w:vMerge w:val="restart"/>
            <w:shd w:val="clear" w:color="auto" w:fill="EAF1DD" w:themeFill="accent3" w:themeFillTint="33"/>
          </w:tcPr>
          <w:p w14:paraId="02323FD5" w14:textId="77777777" w:rsidR="00F77C04" w:rsidRPr="00A007DE" w:rsidRDefault="00F77C04">
            <w:pPr>
              <w:rPr>
                <w:rFonts w:asciiTheme="minorHAnsi" w:eastAsia="Times New Roman" w:hAnsiTheme="minorHAnsi" w:cs="Times New Roman"/>
                <w:sz w:val="20"/>
                <w:szCs w:val="20"/>
              </w:rPr>
            </w:pPr>
          </w:p>
          <w:p w14:paraId="25B2AC85" w14:textId="77777777" w:rsidR="00321CAF" w:rsidRPr="00A007DE" w:rsidRDefault="00321CAF">
            <w:pPr>
              <w:rPr>
                <w:rFonts w:asciiTheme="minorHAnsi" w:eastAsia="Times New Roman" w:hAnsiTheme="minorHAnsi" w:cs="Times New Roman"/>
                <w:sz w:val="20"/>
                <w:szCs w:val="20"/>
              </w:rPr>
            </w:pPr>
          </w:p>
          <w:p w14:paraId="52912117" w14:textId="77777777" w:rsidR="00321CAF" w:rsidRPr="00A007DE" w:rsidRDefault="00321CAF">
            <w:pPr>
              <w:rPr>
                <w:rFonts w:asciiTheme="minorHAnsi" w:eastAsia="Times New Roman" w:hAnsiTheme="minorHAnsi" w:cs="Times New Roman"/>
                <w:sz w:val="20"/>
                <w:szCs w:val="20"/>
              </w:rPr>
            </w:pPr>
          </w:p>
          <w:p w14:paraId="0003C796" w14:textId="77777777" w:rsidR="00FE46D8" w:rsidRPr="00A007DE" w:rsidRDefault="00FE46D8">
            <w:pPr>
              <w:rPr>
                <w:rFonts w:asciiTheme="minorHAnsi" w:eastAsia="Times New Roman" w:hAnsiTheme="minorHAnsi" w:cs="Times New Roman"/>
                <w:sz w:val="20"/>
                <w:szCs w:val="20"/>
              </w:rPr>
            </w:pPr>
          </w:p>
          <w:p w14:paraId="684DF997" w14:textId="77777777" w:rsidR="003F36EA" w:rsidRDefault="003F36EA">
            <w:pPr>
              <w:rPr>
                <w:rFonts w:asciiTheme="minorHAnsi" w:eastAsia="Times New Roman" w:hAnsiTheme="minorHAnsi" w:cs="Times New Roman"/>
                <w:sz w:val="20"/>
                <w:szCs w:val="20"/>
              </w:rPr>
            </w:pPr>
          </w:p>
          <w:p w14:paraId="126CFE62" w14:textId="77777777" w:rsidR="003F36EA" w:rsidRDefault="003F36EA">
            <w:pPr>
              <w:rPr>
                <w:rFonts w:asciiTheme="minorHAnsi" w:eastAsia="Times New Roman" w:hAnsiTheme="minorHAnsi" w:cs="Times New Roman"/>
                <w:sz w:val="20"/>
                <w:szCs w:val="20"/>
              </w:rPr>
            </w:pPr>
          </w:p>
          <w:p w14:paraId="7A67B7FC" w14:textId="77777777" w:rsidR="003F36EA" w:rsidRDefault="003F36EA">
            <w:pPr>
              <w:rPr>
                <w:rFonts w:asciiTheme="minorHAnsi" w:eastAsia="Times New Roman" w:hAnsiTheme="minorHAnsi" w:cs="Times New Roman"/>
                <w:sz w:val="20"/>
                <w:szCs w:val="20"/>
              </w:rPr>
            </w:pPr>
          </w:p>
          <w:p w14:paraId="60C78D55" w14:textId="06301F46" w:rsidR="002F2B1F" w:rsidRPr="00A007DE" w:rsidRDefault="002F2B1F">
            <w:pPr>
              <w:rPr>
                <w:rFonts w:asciiTheme="minorHAnsi" w:hAnsiTheme="minorHAnsi"/>
                <w:sz w:val="20"/>
                <w:szCs w:val="20"/>
              </w:rPr>
            </w:pPr>
            <w:r w:rsidRPr="00A007DE">
              <w:rPr>
                <w:rFonts w:asciiTheme="minorHAnsi" w:eastAsia="Times New Roman" w:hAnsiTheme="minorHAnsi" w:cs="Times New Roman"/>
                <w:sz w:val="20"/>
                <w:szCs w:val="20"/>
              </w:rPr>
              <w:t xml:space="preserve">Competency as </w:t>
            </w:r>
            <w:r w:rsidR="00455396" w:rsidRPr="00A007DE">
              <w:rPr>
                <w:rFonts w:asciiTheme="minorHAnsi" w:eastAsia="Times New Roman" w:hAnsiTheme="minorHAnsi" w:cs="Times New Roman"/>
                <w:sz w:val="20"/>
                <w:szCs w:val="20"/>
              </w:rPr>
              <w:t>the common</w:t>
            </w:r>
            <w:r w:rsidRPr="00A007DE">
              <w:rPr>
                <w:rFonts w:asciiTheme="minorHAnsi" w:eastAsia="Times New Roman" w:hAnsiTheme="minorHAnsi" w:cs="Times New Roman"/>
                <w:sz w:val="20"/>
                <w:szCs w:val="20"/>
              </w:rPr>
              <w:t xml:space="preserve"> language </w:t>
            </w:r>
          </w:p>
          <w:p w14:paraId="6285F03C" w14:textId="77777777" w:rsidR="002F2B1F" w:rsidRPr="00A007DE" w:rsidRDefault="002F2B1F">
            <w:pPr>
              <w:jc w:val="center"/>
              <w:rPr>
                <w:rFonts w:asciiTheme="minorHAnsi" w:hAnsiTheme="minorHAnsi"/>
                <w:sz w:val="20"/>
                <w:szCs w:val="20"/>
              </w:rPr>
            </w:pPr>
          </w:p>
          <w:p w14:paraId="475E1F63" w14:textId="77777777" w:rsidR="002F2B1F" w:rsidRPr="00A007DE" w:rsidRDefault="002F2B1F" w:rsidP="005615E4">
            <w:pPr>
              <w:rPr>
                <w:rFonts w:asciiTheme="minorHAnsi" w:hAnsiTheme="minorHAnsi"/>
                <w:sz w:val="20"/>
                <w:szCs w:val="20"/>
              </w:rPr>
            </w:pPr>
          </w:p>
        </w:tc>
        <w:tc>
          <w:tcPr>
            <w:tcW w:w="540" w:type="dxa"/>
          </w:tcPr>
          <w:p w14:paraId="6BFAB148" w14:textId="53EE5AF4" w:rsidR="002F2B1F" w:rsidRPr="009E7105" w:rsidRDefault="002F2B1F" w:rsidP="005E223B">
            <w:pPr>
              <w:pStyle w:val="ListParagraph"/>
              <w:numPr>
                <w:ilvl w:val="0"/>
                <w:numId w:val="37"/>
              </w:numPr>
              <w:ind w:left="288"/>
              <w:rPr>
                <w:rFonts w:asciiTheme="minorHAnsi" w:eastAsia="Times New Roman" w:hAnsiTheme="minorHAnsi" w:cs="Times New Roman"/>
                <w:sz w:val="19"/>
                <w:szCs w:val="19"/>
              </w:rPr>
            </w:pPr>
          </w:p>
        </w:tc>
        <w:tc>
          <w:tcPr>
            <w:tcW w:w="9810" w:type="dxa"/>
          </w:tcPr>
          <w:p w14:paraId="391A0232" w14:textId="307F31AC" w:rsidR="002F2B1F" w:rsidRPr="009E7105" w:rsidRDefault="002F2B1F" w:rsidP="00F37124">
            <w:pPr>
              <w:rPr>
                <w:rFonts w:asciiTheme="minorHAnsi" w:hAnsiTheme="minorHAnsi"/>
                <w:color w:val="auto"/>
                <w:sz w:val="19"/>
                <w:szCs w:val="19"/>
              </w:rPr>
            </w:pPr>
            <w:r w:rsidRPr="009E7105">
              <w:rPr>
                <w:rFonts w:asciiTheme="minorHAnsi" w:eastAsia="Times New Roman" w:hAnsiTheme="minorHAnsi" w:cs="Times New Roman"/>
                <w:b/>
                <w:color w:val="auto"/>
                <w:sz w:val="19"/>
                <w:szCs w:val="19"/>
              </w:rPr>
              <w:t>Connecting Credentials: Beta Credentials Framework</w:t>
            </w:r>
            <w:r w:rsidRPr="009E7105">
              <w:rPr>
                <w:rFonts w:asciiTheme="minorHAnsi" w:eastAsia="Times New Roman" w:hAnsiTheme="minorHAnsi" w:cs="Times New Roman"/>
                <w:color w:val="auto"/>
                <w:sz w:val="19"/>
                <w:szCs w:val="19"/>
              </w:rPr>
              <w:t xml:space="preserve"> uses competencies as common reference points to help users understand and compare the levels of knowledge and skills that underlie all credentials – including degrees, certificates, industry certifications, licenses, apprenticeships and badges.</w:t>
            </w:r>
            <w:r w:rsidRPr="009E7105">
              <w:rPr>
                <w:rFonts w:asciiTheme="minorHAnsi" w:hAnsiTheme="minorHAnsi"/>
                <w:color w:val="auto"/>
                <w:sz w:val="19"/>
                <w:szCs w:val="19"/>
              </w:rPr>
              <w:t xml:space="preserve"> </w:t>
            </w:r>
            <w:r w:rsidR="00681634">
              <w:rPr>
                <w:rFonts w:asciiTheme="minorHAnsi" w:hAnsiTheme="minorHAnsi"/>
                <w:color w:val="auto"/>
                <w:sz w:val="19"/>
                <w:szCs w:val="19"/>
              </w:rPr>
              <w:t xml:space="preserve">The framework is currently being field tested by AACC The Right Signals grantees and others. </w:t>
            </w:r>
            <w:hyperlink r:id="rId9">
              <w:r w:rsidRPr="009E7105">
                <w:rPr>
                  <w:rFonts w:asciiTheme="minorHAnsi" w:eastAsia="Times New Roman" w:hAnsiTheme="minorHAnsi" w:cs="Times New Roman"/>
                  <w:color w:val="auto"/>
                  <w:sz w:val="19"/>
                  <w:szCs w:val="19"/>
                  <w:u w:val="single"/>
                </w:rPr>
                <w:t>http://connectingcredentials.org</w:t>
              </w:r>
            </w:hyperlink>
          </w:p>
        </w:tc>
        <w:tc>
          <w:tcPr>
            <w:tcW w:w="2250" w:type="dxa"/>
          </w:tcPr>
          <w:p w14:paraId="35D30A10" w14:textId="7C61C6B5" w:rsidR="002F2B1F" w:rsidRPr="009E7105" w:rsidRDefault="00BD793F" w:rsidP="0016571F">
            <w:pPr>
              <w:jc w:val="center"/>
              <w:rPr>
                <w:rFonts w:asciiTheme="minorHAnsi" w:hAnsiTheme="minorHAnsi" w:cs="Times New Roman"/>
                <w:sz w:val="19"/>
                <w:szCs w:val="19"/>
              </w:rPr>
            </w:pPr>
            <w:r w:rsidRPr="009E7105">
              <w:rPr>
                <w:rFonts w:asciiTheme="minorHAnsi" w:eastAsia="Times New Roman" w:hAnsiTheme="minorHAnsi" w:cs="Times New Roman"/>
                <w:sz w:val="19"/>
                <w:szCs w:val="19"/>
              </w:rPr>
              <w:t>C</w:t>
            </w:r>
            <w:r w:rsidR="0016571F">
              <w:rPr>
                <w:rFonts w:asciiTheme="minorHAnsi" w:eastAsia="Times New Roman" w:hAnsiTheme="minorHAnsi" w:cs="Times New Roman"/>
                <w:sz w:val="19"/>
                <w:szCs w:val="19"/>
              </w:rPr>
              <w:t xml:space="preserve">orporation for a Skilled Workforce, </w:t>
            </w:r>
            <w:r w:rsidR="00845D73">
              <w:rPr>
                <w:rFonts w:asciiTheme="minorHAnsi" w:eastAsia="Times New Roman" w:hAnsiTheme="minorHAnsi" w:cs="Times New Roman"/>
                <w:sz w:val="19"/>
                <w:szCs w:val="19"/>
              </w:rPr>
              <w:t>Lumina Foundation</w:t>
            </w:r>
          </w:p>
        </w:tc>
      </w:tr>
      <w:tr w:rsidR="003F36EA" w14:paraId="611C06A8" w14:textId="77777777" w:rsidTr="00210234">
        <w:trPr>
          <w:trHeight w:val="512"/>
        </w:trPr>
        <w:tc>
          <w:tcPr>
            <w:tcW w:w="1710" w:type="dxa"/>
            <w:vMerge/>
            <w:shd w:val="clear" w:color="auto" w:fill="EAF1DD" w:themeFill="accent3" w:themeFillTint="33"/>
          </w:tcPr>
          <w:p w14:paraId="39276076" w14:textId="77777777" w:rsidR="002F2B1F" w:rsidRPr="00A007DE" w:rsidRDefault="002F2B1F">
            <w:pPr>
              <w:rPr>
                <w:rFonts w:asciiTheme="minorHAnsi" w:hAnsiTheme="minorHAnsi"/>
                <w:sz w:val="20"/>
                <w:szCs w:val="20"/>
              </w:rPr>
            </w:pPr>
          </w:p>
        </w:tc>
        <w:tc>
          <w:tcPr>
            <w:tcW w:w="540" w:type="dxa"/>
          </w:tcPr>
          <w:p w14:paraId="36AC7166" w14:textId="522DBE84" w:rsidR="002F2B1F" w:rsidRPr="009E7105" w:rsidRDefault="002F2B1F" w:rsidP="005E223B">
            <w:pPr>
              <w:pStyle w:val="ListParagraph"/>
              <w:numPr>
                <w:ilvl w:val="0"/>
                <w:numId w:val="37"/>
              </w:numPr>
              <w:ind w:left="288"/>
              <w:rPr>
                <w:rFonts w:asciiTheme="minorHAnsi" w:eastAsia="Times New Roman" w:hAnsiTheme="minorHAnsi" w:cs="Times New Roman"/>
                <w:sz w:val="19"/>
                <w:szCs w:val="19"/>
              </w:rPr>
            </w:pPr>
          </w:p>
        </w:tc>
        <w:tc>
          <w:tcPr>
            <w:tcW w:w="9810" w:type="dxa"/>
          </w:tcPr>
          <w:p w14:paraId="10872A6D" w14:textId="7B501723" w:rsidR="002F2B1F" w:rsidRPr="009E7105" w:rsidRDefault="002F2B1F" w:rsidP="00E06C2E">
            <w:pPr>
              <w:rPr>
                <w:rFonts w:asciiTheme="minorHAnsi" w:hAnsiTheme="minorHAnsi"/>
                <w:color w:val="auto"/>
                <w:sz w:val="19"/>
                <w:szCs w:val="19"/>
              </w:rPr>
            </w:pPr>
            <w:r w:rsidRPr="009E7105">
              <w:rPr>
                <w:rFonts w:asciiTheme="minorHAnsi" w:eastAsia="Times New Roman" w:hAnsiTheme="minorHAnsi" w:cs="Times New Roman"/>
                <w:b/>
                <w:color w:val="auto"/>
                <w:sz w:val="19"/>
                <w:szCs w:val="19"/>
              </w:rPr>
              <w:t xml:space="preserve">Clarifying Competency Based Education Terms: A </w:t>
            </w:r>
            <w:r w:rsidR="000E5D70" w:rsidRPr="009E7105">
              <w:rPr>
                <w:rFonts w:asciiTheme="minorHAnsi" w:eastAsia="Times New Roman" w:hAnsiTheme="minorHAnsi" w:cs="Times New Roman"/>
                <w:b/>
                <w:color w:val="auto"/>
                <w:sz w:val="19"/>
                <w:szCs w:val="19"/>
              </w:rPr>
              <w:t>Lexicon</w:t>
            </w:r>
            <w:r w:rsidR="000E5D70" w:rsidRPr="009E7105">
              <w:rPr>
                <w:rFonts w:asciiTheme="minorHAnsi" w:eastAsia="Times New Roman" w:hAnsiTheme="minorHAnsi" w:cs="Times New Roman"/>
                <w:color w:val="auto"/>
                <w:sz w:val="19"/>
                <w:szCs w:val="19"/>
              </w:rPr>
              <w:t xml:space="preserve"> addresses</w:t>
            </w:r>
            <w:r w:rsidRPr="009E7105">
              <w:rPr>
                <w:rFonts w:asciiTheme="minorHAnsi" w:eastAsia="Times New Roman" w:hAnsiTheme="minorHAnsi" w:cs="Times New Roman"/>
                <w:color w:val="auto"/>
                <w:sz w:val="19"/>
                <w:szCs w:val="19"/>
              </w:rPr>
              <w:t xml:space="preserve"> and defines terms often used in the world of CBE -- not all of which are commonly understood to have an accepted definition. </w:t>
            </w:r>
            <w:hyperlink r:id="rId10">
              <w:r w:rsidR="002D38CD" w:rsidRPr="009E7105">
                <w:rPr>
                  <w:rFonts w:asciiTheme="minorHAnsi" w:eastAsia="Times New Roman" w:hAnsiTheme="minorHAnsi" w:cs="Times New Roman"/>
                  <w:color w:val="auto"/>
                  <w:sz w:val="19"/>
                  <w:szCs w:val="19"/>
                  <w:u w:val="single"/>
                </w:rPr>
                <w:t>http://bbbb.blackboard.com/Competency-based-education-definitions</w:t>
              </w:r>
            </w:hyperlink>
            <w:r w:rsidR="002D38CD" w:rsidRPr="009E7105">
              <w:rPr>
                <w:rFonts w:asciiTheme="minorHAnsi" w:eastAsia="Times New Roman" w:hAnsiTheme="minorHAnsi" w:cs="Times New Roman"/>
                <w:color w:val="auto"/>
                <w:sz w:val="19"/>
                <w:szCs w:val="19"/>
              </w:rPr>
              <w:t>,</w:t>
            </w:r>
          </w:p>
        </w:tc>
        <w:tc>
          <w:tcPr>
            <w:tcW w:w="2250" w:type="dxa"/>
          </w:tcPr>
          <w:p w14:paraId="2C735F4E" w14:textId="77777777" w:rsidR="002F2B1F" w:rsidRPr="009E7105" w:rsidRDefault="00DC3636" w:rsidP="0099185D">
            <w:pPr>
              <w:jc w:val="center"/>
              <w:rPr>
                <w:rFonts w:asciiTheme="minorHAnsi" w:hAnsiTheme="minorHAnsi" w:cs="Times New Roman"/>
                <w:sz w:val="19"/>
                <w:szCs w:val="19"/>
              </w:rPr>
            </w:pPr>
            <w:r w:rsidRPr="009E7105">
              <w:rPr>
                <w:rFonts w:asciiTheme="minorHAnsi" w:eastAsia="Times New Roman" w:hAnsiTheme="minorHAnsi" w:cs="Times New Roman"/>
                <w:sz w:val="19"/>
                <w:szCs w:val="19"/>
              </w:rPr>
              <w:t>ACE-Blackboard</w:t>
            </w:r>
          </w:p>
        </w:tc>
      </w:tr>
      <w:tr w:rsidR="003F36EA" w14:paraId="24D676CE" w14:textId="77777777" w:rsidTr="00210234">
        <w:trPr>
          <w:trHeight w:val="512"/>
        </w:trPr>
        <w:tc>
          <w:tcPr>
            <w:tcW w:w="1710" w:type="dxa"/>
            <w:vMerge/>
            <w:shd w:val="clear" w:color="auto" w:fill="EAF1DD" w:themeFill="accent3" w:themeFillTint="33"/>
          </w:tcPr>
          <w:p w14:paraId="0B383446" w14:textId="77777777" w:rsidR="009A6A13" w:rsidRPr="00A007DE" w:rsidRDefault="009A6A13">
            <w:pPr>
              <w:rPr>
                <w:rFonts w:asciiTheme="minorHAnsi" w:hAnsiTheme="minorHAnsi"/>
                <w:sz w:val="20"/>
                <w:szCs w:val="20"/>
              </w:rPr>
            </w:pPr>
          </w:p>
        </w:tc>
        <w:tc>
          <w:tcPr>
            <w:tcW w:w="540" w:type="dxa"/>
          </w:tcPr>
          <w:p w14:paraId="063A21B9" w14:textId="00FF0349" w:rsidR="009A6A13" w:rsidRPr="009E7105" w:rsidRDefault="009A6A13" w:rsidP="005E223B">
            <w:pPr>
              <w:pStyle w:val="ListParagraph"/>
              <w:numPr>
                <w:ilvl w:val="0"/>
                <w:numId w:val="37"/>
              </w:numPr>
              <w:ind w:left="288"/>
              <w:rPr>
                <w:rFonts w:asciiTheme="minorHAnsi" w:eastAsia="Times New Roman" w:hAnsiTheme="minorHAnsi" w:cs="Times New Roman"/>
                <w:sz w:val="19"/>
                <w:szCs w:val="19"/>
              </w:rPr>
            </w:pPr>
          </w:p>
        </w:tc>
        <w:tc>
          <w:tcPr>
            <w:tcW w:w="9810" w:type="dxa"/>
          </w:tcPr>
          <w:p w14:paraId="7F2C63D6" w14:textId="77777777" w:rsidR="009A6A13" w:rsidRPr="009E7105" w:rsidRDefault="009A6A13" w:rsidP="00796F06">
            <w:pPr>
              <w:rPr>
                <w:rFonts w:asciiTheme="minorHAnsi" w:eastAsia="Times New Roman" w:hAnsiTheme="minorHAnsi" w:cs="Times New Roman"/>
                <w:color w:val="auto"/>
                <w:sz w:val="19"/>
                <w:szCs w:val="19"/>
              </w:rPr>
            </w:pPr>
            <w:r w:rsidRPr="009E7105">
              <w:rPr>
                <w:rFonts w:asciiTheme="minorHAnsi" w:eastAsia="Times New Roman" w:hAnsiTheme="minorHAnsi" w:cs="Times New Roman"/>
                <w:b/>
                <w:color w:val="auto"/>
                <w:sz w:val="19"/>
                <w:szCs w:val="19"/>
              </w:rPr>
              <w:t>The Readiness Project</w:t>
            </w:r>
            <w:r w:rsidRPr="009E7105">
              <w:rPr>
                <w:rFonts w:asciiTheme="minorHAnsi" w:eastAsia="Times New Roman" w:hAnsiTheme="minorHAnsi" w:cs="Times New Roman"/>
                <w:color w:val="auto"/>
                <w:sz w:val="19"/>
                <w:szCs w:val="19"/>
              </w:rPr>
              <w:t xml:space="preserve"> uses accessible and actionable research and communications to suggest common language for the dynamic abilities people use every day; the high frequency skills, habits and attitudes (competencies) that make-up those abilities; the practices that support the development of those skillsets and mindsets and, the gaps and traps that stand in the way of putting those abilities and practices into effect.</w:t>
            </w:r>
          </w:p>
        </w:tc>
        <w:tc>
          <w:tcPr>
            <w:tcW w:w="2250" w:type="dxa"/>
          </w:tcPr>
          <w:p w14:paraId="64FEFA55" w14:textId="6F065BC0" w:rsidR="009A6A13" w:rsidRPr="009E7105" w:rsidRDefault="009A6A13" w:rsidP="0099185D">
            <w:pPr>
              <w:jc w:val="center"/>
              <w:rPr>
                <w:rFonts w:asciiTheme="minorHAnsi" w:hAnsiTheme="minorHAnsi" w:cs="Times New Roman"/>
                <w:sz w:val="19"/>
                <w:szCs w:val="19"/>
              </w:rPr>
            </w:pPr>
            <w:r w:rsidRPr="009E7105">
              <w:rPr>
                <w:rFonts w:asciiTheme="minorHAnsi" w:hAnsiTheme="minorHAnsi" w:cs="Times New Roman"/>
                <w:sz w:val="19"/>
                <w:szCs w:val="19"/>
              </w:rPr>
              <w:t>Ford</w:t>
            </w:r>
            <w:r w:rsidR="00BA554D" w:rsidRPr="009E7105">
              <w:rPr>
                <w:rFonts w:asciiTheme="minorHAnsi" w:hAnsiTheme="minorHAnsi" w:cs="Times New Roman"/>
                <w:sz w:val="19"/>
                <w:szCs w:val="19"/>
              </w:rPr>
              <w:t xml:space="preserve"> Foundation</w:t>
            </w:r>
          </w:p>
        </w:tc>
      </w:tr>
      <w:tr w:rsidR="003F36EA" w14:paraId="0FB1338D" w14:textId="77777777" w:rsidTr="00210234">
        <w:trPr>
          <w:trHeight w:val="512"/>
        </w:trPr>
        <w:tc>
          <w:tcPr>
            <w:tcW w:w="1710" w:type="dxa"/>
            <w:vMerge/>
            <w:shd w:val="clear" w:color="auto" w:fill="EAF1DD" w:themeFill="accent3" w:themeFillTint="33"/>
          </w:tcPr>
          <w:p w14:paraId="3D70A4AF" w14:textId="77777777" w:rsidR="00DE3374" w:rsidRPr="00A007DE" w:rsidRDefault="00DE3374">
            <w:pPr>
              <w:rPr>
                <w:rFonts w:asciiTheme="minorHAnsi" w:hAnsiTheme="minorHAnsi"/>
                <w:sz w:val="20"/>
                <w:szCs w:val="20"/>
              </w:rPr>
            </w:pPr>
          </w:p>
        </w:tc>
        <w:tc>
          <w:tcPr>
            <w:tcW w:w="540" w:type="dxa"/>
          </w:tcPr>
          <w:p w14:paraId="256AB44E" w14:textId="77777777" w:rsidR="00DE3374" w:rsidRPr="009E7105" w:rsidRDefault="00DE3374" w:rsidP="005E223B">
            <w:pPr>
              <w:pStyle w:val="ListParagraph"/>
              <w:numPr>
                <w:ilvl w:val="0"/>
                <w:numId w:val="37"/>
              </w:numPr>
              <w:ind w:left="288"/>
              <w:rPr>
                <w:rFonts w:asciiTheme="minorHAnsi" w:eastAsia="Times New Roman" w:hAnsiTheme="minorHAnsi" w:cs="Times New Roman"/>
                <w:sz w:val="19"/>
                <w:szCs w:val="19"/>
              </w:rPr>
            </w:pPr>
          </w:p>
        </w:tc>
        <w:tc>
          <w:tcPr>
            <w:tcW w:w="9810" w:type="dxa"/>
          </w:tcPr>
          <w:p w14:paraId="0993C8F0" w14:textId="2856C306" w:rsidR="00DE3374" w:rsidRPr="009E7105" w:rsidRDefault="00A14BCC" w:rsidP="003F11D3">
            <w:pPr>
              <w:rPr>
                <w:rFonts w:asciiTheme="minorHAnsi" w:eastAsia="Times New Roman" w:hAnsiTheme="minorHAnsi" w:cs="Times New Roman"/>
                <w:color w:val="auto"/>
                <w:sz w:val="19"/>
                <w:szCs w:val="19"/>
              </w:rPr>
            </w:pPr>
            <w:r w:rsidRPr="009E7105">
              <w:rPr>
                <w:rFonts w:asciiTheme="minorHAnsi" w:eastAsia="Times New Roman" w:hAnsiTheme="minorHAnsi" w:cs="Times New Roman"/>
                <w:color w:val="auto"/>
                <w:sz w:val="19"/>
                <w:szCs w:val="19"/>
              </w:rPr>
              <w:t>I</w:t>
            </w:r>
            <w:r w:rsidR="00DE3374" w:rsidRPr="009E7105">
              <w:rPr>
                <w:rFonts w:asciiTheme="minorHAnsi" w:eastAsia="Times New Roman" w:hAnsiTheme="minorHAnsi" w:cs="Times New Roman"/>
                <w:color w:val="auto"/>
                <w:sz w:val="19"/>
                <w:szCs w:val="19"/>
              </w:rPr>
              <w:t xml:space="preserve">nteractive </w:t>
            </w:r>
            <w:r w:rsidR="00DE3374" w:rsidRPr="009E7105">
              <w:rPr>
                <w:rFonts w:asciiTheme="minorHAnsi" w:eastAsia="Times New Roman" w:hAnsiTheme="minorHAnsi" w:cs="Times New Roman"/>
                <w:b/>
                <w:color w:val="auto"/>
                <w:sz w:val="19"/>
                <w:szCs w:val="19"/>
              </w:rPr>
              <w:t>Employability Skills Framework website</w:t>
            </w:r>
            <w:r w:rsidR="00DE3374" w:rsidRPr="009E7105">
              <w:rPr>
                <w:rFonts w:asciiTheme="minorHAnsi" w:eastAsia="Times New Roman" w:hAnsiTheme="minorHAnsi" w:cs="Times New Roman"/>
                <w:color w:val="auto"/>
                <w:sz w:val="19"/>
                <w:szCs w:val="19"/>
              </w:rPr>
              <w:t xml:space="preserve"> is central clearinghouse of resources for policymakers, practitioners in education and workforce training, and others where they can identify employability skills and compare the skills identified by various instructional standards and assessments; understand key considerations for selecting an employability skills assessment; create a customized assessment comparison worksheet; and view practical examples of employability skills instruction and assessment.</w:t>
            </w:r>
            <w:r w:rsidR="00DE3374" w:rsidRPr="009E7105">
              <w:rPr>
                <w:rFonts w:asciiTheme="minorHAnsi" w:hAnsiTheme="minorHAnsi"/>
                <w:color w:val="auto"/>
                <w:sz w:val="19"/>
                <w:szCs w:val="19"/>
              </w:rPr>
              <w:t xml:space="preserve"> </w:t>
            </w:r>
            <w:hyperlink r:id="rId11" w:history="1">
              <w:r w:rsidR="00DE3374" w:rsidRPr="009E7105">
                <w:rPr>
                  <w:rStyle w:val="Hyperlink"/>
                  <w:rFonts w:asciiTheme="minorHAnsi" w:eastAsia="Times New Roman" w:hAnsiTheme="minorHAnsi" w:cs="Times New Roman"/>
                  <w:color w:val="auto"/>
                  <w:sz w:val="19"/>
                  <w:szCs w:val="19"/>
                </w:rPr>
                <w:t>http://cte.ed.gov/employabilityskills/app/webroot/files/Employability_Skills_Framework.pdf</w:t>
              </w:r>
            </w:hyperlink>
            <w:r w:rsidR="00DE3374" w:rsidRPr="009E7105">
              <w:rPr>
                <w:rFonts w:asciiTheme="minorHAnsi" w:eastAsia="Times New Roman" w:hAnsiTheme="minorHAnsi" w:cs="Times New Roman"/>
                <w:color w:val="auto"/>
                <w:sz w:val="19"/>
                <w:szCs w:val="19"/>
              </w:rPr>
              <w:t xml:space="preserve"> </w:t>
            </w:r>
          </w:p>
        </w:tc>
        <w:tc>
          <w:tcPr>
            <w:tcW w:w="2250" w:type="dxa"/>
          </w:tcPr>
          <w:p w14:paraId="0590664C" w14:textId="6338E085" w:rsidR="00DE3374" w:rsidRPr="009E7105" w:rsidRDefault="00DE3374" w:rsidP="003F5D5C">
            <w:pPr>
              <w:jc w:val="center"/>
              <w:rPr>
                <w:rFonts w:asciiTheme="minorHAnsi" w:hAnsiTheme="minorHAnsi" w:cs="Times New Roman"/>
                <w:sz w:val="19"/>
                <w:szCs w:val="19"/>
              </w:rPr>
            </w:pPr>
            <w:r w:rsidRPr="009E7105">
              <w:rPr>
                <w:rFonts w:asciiTheme="minorHAnsi" w:hAnsiTheme="minorHAnsi" w:cs="Times New Roman"/>
                <w:sz w:val="19"/>
                <w:szCs w:val="19"/>
              </w:rPr>
              <w:t xml:space="preserve">Office of Career, Technical </w:t>
            </w:r>
            <w:r w:rsidR="003F5D5C" w:rsidRPr="009E7105">
              <w:rPr>
                <w:rFonts w:asciiTheme="minorHAnsi" w:hAnsiTheme="minorHAnsi" w:cs="Times New Roman"/>
                <w:sz w:val="19"/>
                <w:szCs w:val="19"/>
              </w:rPr>
              <w:t xml:space="preserve">&amp; </w:t>
            </w:r>
            <w:r w:rsidRPr="009E7105">
              <w:rPr>
                <w:rFonts w:asciiTheme="minorHAnsi" w:hAnsiTheme="minorHAnsi" w:cs="Times New Roman"/>
                <w:sz w:val="19"/>
                <w:szCs w:val="19"/>
              </w:rPr>
              <w:t xml:space="preserve">Adult Education, U.S. Department of Education </w:t>
            </w:r>
          </w:p>
        </w:tc>
      </w:tr>
      <w:tr w:rsidR="003F36EA" w14:paraId="4BF4E683" w14:textId="77777777" w:rsidTr="00210234">
        <w:trPr>
          <w:trHeight w:val="512"/>
        </w:trPr>
        <w:tc>
          <w:tcPr>
            <w:tcW w:w="1710" w:type="dxa"/>
            <w:vMerge/>
            <w:shd w:val="clear" w:color="auto" w:fill="EAF1DD" w:themeFill="accent3" w:themeFillTint="33"/>
          </w:tcPr>
          <w:p w14:paraId="64B0BF1F" w14:textId="77777777" w:rsidR="004373AF" w:rsidRPr="00A007DE" w:rsidRDefault="004373AF">
            <w:pPr>
              <w:rPr>
                <w:rFonts w:asciiTheme="minorHAnsi" w:hAnsiTheme="minorHAnsi"/>
                <w:sz w:val="20"/>
                <w:szCs w:val="20"/>
              </w:rPr>
            </w:pPr>
          </w:p>
        </w:tc>
        <w:tc>
          <w:tcPr>
            <w:tcW w:w="540" w:type="dxa"/>
          </w:tcPr>
          <w:p w14:paraId="6BA0F415" w14:textId="1B6807C6" w:rsidR="004373AF" w:rsidRPr="009E7105" w:rsidRDefault="004373AF" w:rsidP="005E223B">
            <w:pPr>
              <w:pStyle w:val="ListParagraph"/>
              <w:numPr>
                <w:ilvl w:val="0"/>
                <w:numId w:val="37"/>
              </w:numPr>
              <w:ind w:left="288"/>
              <w:rPr>
                <w:rFonts w:asciiTheme="minorHAnsi" w:eastAsia="Times New Roman" w:hAnsiTheme="minorHAnsi" w:cs="Times New Roman"/>
                <w:sz w:val="19"/>
                <w:szCs w:val="19"/>
              </w:rPr>
            </w:pPr>
          </w:p>
        </w:tc>
        <w:tc>
          <w:tcPr>
            <w:tcW w:w="9810" w:type="dxa"/>
          </w:tcPr>
          <w:p w14:paraId="18C0B215" w14:textId="77777777" w:rsidR="004373AF" w:rsidRPr="009E7105" w:rsidRDefault="0078599E" w:rsidP="00A14BCC">
            <w:pPr>
              <w:rPr>
                <w:rFonts w:asciiTheme="minorHAnsi" w:eastAsia="Times New Roman" w:hAnsiTheme="minorHAnsi" w:cs="Times New Roman"/>
                <w:color w:val="auto"/>
                <w:sz w:val="19"/>
                <w:szCs w:val="19"/>
              </w:rPr>
            </w:pPr>
            <w:r w:rsidRPr="009E7105">
              <w:rPr>
                <w:rFonts w:asciiTheme="minorHAnsi" w:eastAsia="Times New Roman" w:hAnsiTheme="minorHAnsi" w:cs="Times New Roman"/>
                <w:color w:val="auto"/>
                <w:sz w:val="19"/>
                <w:szCs w:val="19"/>
              </w:rPr>
              <w:t>O</w:t>
            </w:r>
            <w:r w:rsidR="004373AF" w:rsidRPr="009E7105">
              <w:rPr>
                <w:rFonts w:asciiTheme="minorHAnsi" w:eastAsia="Times New Roman" w:hAnsiTheme="minorHAnsi" w:cs="Times New Roman"/>
                <w:color w:val="auto"/>
                <w:sz w:val="19"/>
                <w:szCs w:val="19"/>
              </w:rPr>
              <w:t>ngoing stream of work that ties degrees, certificates, industry</w:t>
            </w:r>
            <w:r w:rsidRPr="009E7105">
              <w:rPr>
                <w:rFonts w:asciiTheme="minorHAnsi" w:eastAsia="Times New Roman" w:hAnsiTheme="minorHAnsi" w:cs="Times New Roman"/>
                <w:color w:val="auto"/>
                <w:sz w:val="19"/>
                <w:szCs w:val="19"/>
              </w:rPr>
              <w:t>-</w:t>
            </w:r>
            <w:r w:rsidR="004373AF" w:rsidRPr="009E7105">
              <w:rPr>
                <w:rFonts w:asciiTheme="minorHAnsi" w:eastAsia="Times New Roman" w:hAnsiTheme="minorHAnsi" w:cs="Times New Roman"/>
                <w:color w:val="auto"/>
                <w:sz w:val="19"/>
                <w:szCs w:val="19"/>
              </w:rPr>
              <w:t xml:space="preserve">based certifications, non-credit education, and licenses to labor market value. The work also drills down below the level of degree attainment and/or program to core competencies required for success along education and career pathways. Core occupational competencies include occupational knowledge, skills, abilities, work values, work interests, and personality traits. See following reports: </w:t>
            </w:r>
            <w:r w:rsidR="004373AF" w:rsidRPr="009E7105">
              <w:rPr>
                <w:rFonts w:asciiTheme="minorHAnsi" w:eastAsia="Times New Roman" w:hAnsiTheme="minorHAnsi" w:cs="Times New Roman"/>
                <w:b/>
                <w:color w:val="auto"/>
                <w:sz w:val="19"/>
                <w:szCs w:val="19"/>
              </w:rPr>
              <w:t>Recovery 2020</w:t>
            </w:r>
            <w:r w:rsidR="004373AF" w:rsidRPr="009E7105">
              <w:rPr>
                <w:rFonts w:asciiTheme="minorHAnsi" w:eastAsia="Times New Roman" w:hAnsiTheme="minorHAnsi" w:cs="Times New Roman"/>
                <w:color w:val="auto"/>
                <w:sz w:val="19"/>
                <w:szCs w:val="19"/>
              </w:rPr>
              <w:t xml:space="preserve">, </w:t>
            </w:r>
            <w:r w:rsidR="004373AF" w:rsidRPr="009E7105">
              <w:rPr>
                <w:rFonts w:asciiTheme="minorHAnsi" w:eastAsia="Times New Roman" w:hAnsiTheme="minorHAnsi" w:cs="Times New Roman"/>
                <w:b/>
                <w:color w:val="auto"/>
                <w:sz w:val="19"/>
                <w:szCs w:val="19"/>
              </w:rPr>
              <w:t>College Payoff</w:t>
            </w:r>
            <w:r w:rsidR="004373AF" w:rsidRPr="009E7105">
              <w:rPr>
                <w:rFonts w:asciiTheme="minorHAnsi" w:eastAsia="Times New Roman" w:hAnsiTheme="minorHAnsi" w:cs="Times New Roman"/>
                <w:color w:val="auto"/>
                <w:sz w:val="19"/>
                <w:szCs w:val="19"/>
              </w:rPr>
              <w:t xml:space="preserve">, </w:t>
            </w:r>
            <w:r w:rsidR="004373AF" w:rsidRPr="009E7105">
              <w:rPr>
                <w:rFonts w:asciiTheme="minorHAnsi" w:eastAsia="Times New Roman" w:hAnsiTheme="minorHAnsi" w:cs="Times New Roman"/>
                <w:b/>
                <w:color w:val="auto"/>
                <w:sz w:val="19"/>
                <w:szCs w:val="19"/>
              </w:rPr>
              <w:t>Certificates</w:t>
            </w:r>
          </w:p>
        </w:tc>
        <w:tc>
          <w:tcPr>
            <w:tcW w:w="2250" w:type="dxa"/>
          </w:tcPr>
          <w:p w14:paraId="337C8B33" w14:textId="7A43A7B7" w:rsidR="004373AF" w:rsidRPr="009E7105" w:rsidRDefault="00DF2174" w:rsidP="00F22421">
            <w:pPr>
              <w:jc w:val="center"/>
              <w:rPr>
                <w:rFonts w:asciiTheme="minorHAnsi" w:hAnsiTheme="minorHAnsi" w:cs="Times New Roman"/>
                <w:sz w:val="19"/>
                <w:szCs w:val="19"/>
              </w:rPr>
            </w:pPr>
            <w:r w:rsidRPr="009E7105">
              <w:rPr>
                <w:rFonts w:asciiTheme="minorHAnsi" w:hAnsiTheme="minorHAnsi" w:cs="Times New Roman"/>
                <w:sz w:val="19"/>
                <w:szCs w:val="19"/>
              </w:rPr>
              <w:t xml:space="preserve">Georgetown University Center on Education </w:t>
            </w:r>
            <w:r w:rsidR="00F22421">
              <w:rPr>
                <w:rFonts w:asciiTheme="minorHAnsi" w:hAnsiTheme="minorHAnsi" w:cs="Times New Roman"/>
                <w:sz w:val="19"/>
                <w:szCs w:val="19"/>
              </w:rPr>
              <w:t xml:space="preserve">&amp; </w:t>
            </w:r>
            <w:r w:rsidRPr="009E7105">
              <w:rPr>
                <w:rFonts w:asciiTheme="minorHAnsi" w:hAnsiTheme="minorHAnsi" w:cs="Times New Roman"/>
                <w:sz w:val="19"/>
                <w:szCs w:val="19"/>
              </w:rPr>
              <w:t xml:space="preserve">the </w:t>
            </w:r>
            <w:r w:rsidR="006954BF" w:rsidRPr="009E7105">
              <w:rPr>
                <w:rFonts w:asciiTheme="minorHAnsi" w:hAnsiTheme="minorHAnsi" w:cs="Times New Roman"/>
                <w:sz w:val="19"/>
                <w:szCs w:val="19"/>
              </w:rPr>
              <w:t xml:space="preserve">Workforce </w:t>
            </w:r>
            <w:r w:rsidRPr="009E7105">
              <w:rPr>
                <w:rFonts w:asciiTheme="minorHAnsi" w:hAnsiTheme="minorHAnsi" w:cs="Times New Roman"/>
                <w:sz w:val="19"/>
                <w:szCs w:val="19"/>
              </w:rPr>
              <w:t xml:space="preserve">-- </w:t>
            </w:r>
            <w:r w:rsidR="004373AF" w:rsidRPr="009E7105">
              <w:rPr>
                <w:rFonts w:asciiTheme="minorHAnsi" w:hAnsiTheme="minorHAnsi" w:cs="Times New Roman"/>
                <w:sz w:val="19"/>
                <w:szCs w:val="19"/>
              </w:rPr>
              <w:t>Gates, Lumina</w:t>
            </w:r>
            <w:r w:rsidR="00F22421">
              <w:rPr>
                <w:rFonts w:asciiTheme="minorHAnsi" w:hAnsiTheme="minorHAnsi" w:cs="Times New Roman"/>
                <w:sz w:val="19"/>
                <w:szCs w:val="19"/>
              </w:rPr>
              <w:t xml:space="preserve"> &amp; </w:t>
            </w:r>
            <w:r w:rsidR="004373AF" w:rsidRPr="009E7105">
              <w:rPr>
                <w:rFonts w:asciiTheme="minorHAnsi" w:hAnsiTheme="minorHAnsi" w:cs="Times New Roman"/>
                <w:sz w:val="19"/>
                <w:szCs w:val="19"/>
              </w:rPr>
              <w:t>Joyce</w:t>
            </w:r>
            <w:r w:rsidR="006954BF" w:rsidRPr="009E7105">
              <w:rPr>
                <w:rFonts w:asciiTheme="minorHAnsi" w:hAnsiTheme="minorHAnsi" w:cs="Times New Roman"/>
                <w:sz w:val="19"/>
                <w:szCs w:val="19"/>
              </w:rPr>
              <w:t xml:space="preserve"> Foundations</w:t>
            </w:r>
          </w:p>
        </w:tc>
      </w:tr>
      <w:tr w:rsidR="00455396" w14:paraId="4E8A3060" w14:textId="77777777" w:rsidTr="00210234">
        <w:trPr>
          <w:trHeight w:val="512"/>
        </w:trPr>
        <w:tc>
          <w:tcPr>
            <w:tcW w:w="1710" w:type="dxa"/>
            <w:shd w:val="clear" w:color="auto" w:fill="EAF1DD" w:themeFill="accent3" w:themeFillTint="33"/>
          </w:tcPr>
          <w:p w14:paraId="0F17B66F" w14:textId="77777777" w:rsidR="00455396" w:rsidRPr="00A007DE" w:rsidRDefault="00455396">
            <w:pPr>
              <w:rPr>
                <w:rFonts w:asciiTheme="minorHAnsi" w:hAnsiTheme="minorHAnsi"/>
                <w:sz w:val="20"/>
                <w:szCs w:val="20"/>
              </w:rPr>
            </w:pPr>
          </w:p>
        </w:tc>
        <w:tc>
          <w:tcPr>
            <w:tcW w:w="540" w:type="dxa"/>
          </w:tcPr>
          <w:p w14:paraId="1BBE6B8F" w14:textId="77777777" w:rsidR="00455396" w:rsidRPr="009E7105" w:rsidRDefault="00455396" w:rsidP="005E223B">
            <w:pPr>
              <w:pStyle w:val="ListParagraph"/>
              <w:numPr>
                <w:ilvl w:val="0"/>
                <w:numId w:val="37"/>
              </w:numPr>
              <w:ind w:left="288"/>
              <w:rPr>
                <w:rFonts w:asciiTheme="minorHAnsi" w:eastAsia="Times New Roman" w:hAnsiTheme="minorHAnsi" w:cs="Times New Roman"/>
                <w:sz w:val="19"/>
                <w:szCs w:val="19"/>
              </w:rPr>
            </w:pPr>
          </w:p>
        </w:tc>
        <w:tc>
          <w:tcPr>
            <w:tcW w:w="9810" w:type="dxa"/>
          </w:tcPr>
          <w:p w14:paraId="73311F5E" w14:textId="3B1ECA7E" w:rsidR="00455396" w:rsidRPr="00455396" w:rsidRDefault="00455396" w:rsidP="00A14BCC">
            <w:pPr>
              <w:rPr>
                <w:rFonts w:asciiTheme="minorHAnsi" w:eastAsia="Times New Roman" w:hAnsiTheme="minorHAnsi" w:cs="Times New Roman"/>
                <w:color w:val="auto"/>
                <w:sz w:val="19"/>
                <w:szCs w:val="19"/>
              </w:rPr>
            </w:pPr>
            <w:r w:rsidRPr="00455396">
              <w:rPr>
                <w:b/>
                <w:sz w:val="19"/>
                <w:szCs w:val="19"/>
                <w:lang w:val="en"/>
              </w:rPr>
              <w:t>Interactive Employability Skills Framework</w:t>
            </w:r>
            <w:r w:rsidRPr="00455396">
              <w:rPr>
                <w:sz w:val="19"/>
                <w:szCs w:val="19"/>
                <w:lang w:val="en"/>
              </w:rPr>
              <w:t xml:space="preserve"> – This website, operated by the U.S. Department of Education, is a clearinghouse of resources where policymakers, practitioners in education and workforce training, and others can identify employability skills and compare the skills identified by various instructional standards and assessments; understand key considerations for selecting an employability skills assessment; create a customized assessment comparison worksheet; and view practical examples of employability skills instruction and assessment. </w:t>
            </w:r>
            <w:hyperlink r:id="rId12" w:history="1">
              <w:r w:rsidRPr="00455396">
                <w:rPr>
                  <w:color w:val="F78F1E"/>
                  <w:sz w:val="19"/>
                  <w:szCs w:val="19"/>
                  <w:u w:val="single"/>
                  <w:lang w:val="en"/>
                </w:rPr>
                <w:t>http://cte.ed.gov/employabilityskills/app/webroot/files/Employability_Skills_Framework.pdf</w:t>
              </w:r>
            </w:hyperlink>
          </w:p>
        </w:tc>
        <w:tc>
          <w:tcPr>
            <w:tcW w:w="2250" w:type="dxa"/>
          </w:tcPr>
          <w:p w14:paraId="3E8D51DC" w14:textId="5DF31AA8" w:rsidR="00455396" w:rsidRPr="009E7105" w:rsidRDefault="00455396" w:rsidP="00F22421">
            <w:pPr>
              <w:jc w:val="center"/>
              <w:rPr>
                <w:rFonts w:asciiTheme="minorHAnsi" w:hAnsiTheme="minorHAnsi" w:cs="Times New Roman"/>
                <w:sz w:val="19"/>
                <w:szCs w:val="19"/>
              </w:rPr>
            </w:pPr>
            <w:r>
              <w:rPr>
                <w:rFonts w:asciiTheme="minorHAnsi" w:hAnsiTheme="minorHAnsi" w:cs="Times New Roman"/>
                <w:sz w:val="19"/>
                <w:szCs w:val="19"/>
              </w:rPr>
              <w:t>U.S. Department of Education</w:t>
            </w:r>
          </w:p>
        </w:tc>
      </w:tr>
      <w:tr w:rsidR="00095690" w14:paraId="3CDC14A0" w14:textId="77777777" w:rsidTr="00210234">
        <w:trPr>
          <w:trHeight w:val="512"/>
        </w:trPr>
        <w:tc>
          <w:tcPr>
            <w:tcW w:w="1710" w:type="dxa"/>
            <w:vMerge w:val="restart"/>
            <w:shd w:val="clear" w:color="auto" w:fill="EAF1DD" w:themeFill="accent3" w:themeFillTint="33"/>
          </w:tcPr>
          <w:p w14:paraId="28631FEB" w14:textId="77777777" w:rsidR="00095690" w:rsidRDefault="00095690" w:rsidP="00CA7477">
            <w:pPr>
              <w:rPr>
                <w:rFonts w:asciiTheme="minorHAnsi" w:eastAsia="Times New Roman" w:hAnsiTheme="minorHAnsi" w:cs="Times New Roman"/>
                <w:sz w:val="20"/>
                <w:szCs w:val="20"/>
              </w:rPr>
            </w:pPr>
          </w:p>
          <w:p w14:paraId="7FF922FB" w14:textId="77777777" w:rsidR="00AF7064" w:rsidRDefault="00AF7064" w:rsidP="00CA7477">
            <w:pPr>
              <w:rPr>
                <w:rFonts w:asciiTheme="minorHAnsi" w:eastAsia="Times New Roman" w:hAnsiTheme="minorHAnsi" w:cs="Times New Roman"/>
                <w:sz w:val="20"/>
                <w:szCs w:val="20"/>
              </w:rPr>
            </w:pPr>
          </w:p>
          <w:p w14:paraId="13BFE841" w14:textId="77777777" w:rsidR="00AF7064" w:rsidRDefault="00AF7064" w:rsidP="00CA7477">
            <w:pPr>
              <w:rPr>
                <w:rFonts w:asciiTheme="minorHAnsi" w:eastAsia="Times New Roman" w:hAnsiTheme="minorHAnsi" w:cs="Times New Roman"/>
                <w:sz w:val="20"/>
                <w:szCs w:val="20"/>
              </w:rPr>
            </w:pPr>
          </w:p>
          <w:p w14:paraId="443DBCD6" w14:textId="77777777" w:rsidR="00AF7064" w:rsidRPr="00A007DE" w:rsidRDefault="00AF7064" w:rsidP="00CA7477">
            <w:pPr>
              <w:rPr>
                <w:rFonts w:asciiTheme="minorHAnsi" w:eastAsia="Times New Roman" w:hAnsiTheme="minorHAnsi" w:cs="Times New Roman"/>
                <w:sz w:val="20"/>
                <w:szCs w:val="20"/>
              </w:rPr>
            </w:pPr>
          </w:p>
          <w:p w14:paraId="27DD49CE" w14:textId="11354FA3" w:rsidR="00095690" w:rsidRPr="00A007DE" w:rsidRDefault="00095690" w:rsidP="008F46B6">
            <w:pPr>
              <w:rPr>
                <w:rFonts w:asciiTheme="minorHAnsi" w:hAnsiTheme="minorHAnsi"/>
                <w:sz w:val="20"/>
                <w:szCs w:val="20"/>
              </w:rPr>
            </w:pPr>
            <w:r w:rsidRPr="00A007DE">
              <w:rPr>
                <w:rFonts w:asciiTheme="minorHAnsi" w:eastAsia="Times New Roman" w:hAnsiTheme="minorHAnsi" w:cs="Times New Roman"/>
                <w:sz w:val="20"/>
                <w:szCs w:val="20"/>
              </w:rPr>
              <w:t xml:space="preserve">Competency-based standards </w:t>
            </w:r>
            <w:r w:rsidR="008F46B6">
              <w:rPr>
                <w:rFonts w:asciiTheme="minorHAnsi" w:eastAsia="Times New Roman" w:hAnsiTheme="minorHAnsi" w:cs="Times New Roman"/>
                <w:sz w:val="20"/>
                <w:szCs w:val="20"/>
              </w:rPr>
              <w:t xml:space="preserve">in </w:t>
            </w:r>
            <w:r w:rsidRPr="00A007DE">
              <w:rPr>
                <w:rFonts w:asciiTheme="minorHAnsi" w:eastAsia="Times New Roman" w:hAnsiTheme="minorHAnsi" w:cs="Times New Roman"/>
                <w:sz w:val="20"/>
                <w:szCs w:val="20"/>
              </w:rPr>
              <w:t>education</w:t>
            </w:r>
          </w:p>
        </w:tc>
        <w:tc>
          <w:tcPr>
            <w:tcW w:w="540" w:type="dxa"/>
          </w:tcPr>
          <w:p w14:paraId="6F6518F5" w14:textId="77777777" w:rsidR="00095690" w:rsidRPr="009E7105" w:rsidRDefault="00095690" w:rsidP="005E223B">
            <w:pPr>
              <w:pStyle w:val="ListParagraph"/>
              <w:numPr>
                <w:ilvl w:val="0"/>
                <w:numId w:val="37"/>
              </w:numPr>
              <w:ind w:left="288"/>
              <w:rPr>
                <w:rFonts w:asciiTheme="minorHAnsi" w:eastAsia="Times New Roman" w:hAnsiTheme="minorHAnsi" w:cs="Times New Roman"/>
                <w:sz w:val="19"/>
                <w:szCs w:val="19"/>
              </w:rPr>
            </w:pPr>
          </w:p>
        </w:tc>
        <w:tc>
          <w:tcPr>
            <w:tcW w:w="9810" w:type="dxa"/>
          </w:tcPr>
          <w:p w14:paraId="147B66E4" w14:textId="1E85FE4E" w:rsidR="00095690" w:rsidRPr="009E7105" w:rsidRDefault="00095690" w:rsidP="00A14BCC">
            <w:pPr>
              <w:rPr>
                <w:rFonts w:asciiTheme="minorHAnsi" w:eastAsia="Times New Roman" w:hAnsiTheme="minorHAnsi" w:cs="Times New Roman"/>
                <w:color w:val="auto"/>
                <w:sz w:val="19"/>
                <w:szCs w:val="19"/>
              </w:rPr>
            </w:pPr>
            <w:r w:rsidRPr="009E7105">
              <w:rPr>
                <w:rFonts w:asciiTheme="minorHAnsi" w:eastAsia="Times New Roman" w:hAnsiTheme="minorHAnsi" w:cs="Times New Roman"/>
                <w:b/>
                <w:color w:val="auto"/>
                <w:sz w:val="19"/>
                <w:szCs w:val="19"/>
              </w:rPr>
              <w:t>Degree Qualifications Profile (DQP) i</w:t>
            </w:r>
            <w:r w:rsidRPr="009E7105">
              <w:rPr>
                <w:rFonts w:asciiTheme="minorHAnsi" w:eastAsia="Times New Roman" w:hAnsiTheme="minorHAnsi" w:cs="Times New Roman"/>
                <w:color w:val="auto"/>
                <w:sz w:val="19"/>
                <w:szCs w:val="19"/>
              </w:rPr>
              <w:t xml:space="preserve">s a learning-centered framework outlining what college students should know and be able to do upon completion of associate, bachelors and master’s degrees – in any field of study. Paired with the complementary, discipline-specific process of Tuning, the DQP engages faculty in the work of improving courses and programs of study:  </w:t>
            </w:r>
            <w:hyperlink r:id="rId13" w:history="1">
              <w:r w:rsidRPr="009E7105">
                <w:rPr>
                  <w:rStyle w:val="Hyperlink"/>
                  <w:rFonts w:asciiTheme="minorHAnsi" w:eastAsia="Times New Roman" w:hAnsiTheme="minorHAnsi" w:cs="Times New Roman"/>
                  <w:color w:val="auto"/>
                  <w:sz w:val="19"/>
                  <w:szCs w:val="19"/>
                </w:rPr>
                <w:t>http://degreeprofile.org/</w:t>
              </w:r>
            </w:hyperlink>
            <w:r w:rsidRPr="009E7105">
              <w:rPr>
                <w:rFonts w:asciiTheme="minorHAnsi" w:eastAsia="Times New Roman" w:hAnsiTheme="minorHAnsi" w:cs="Times New Roman"/>
                <w:b/>
                <w:color w:val="auto"/>
                <w:sz w:val="19"/>
                <w:szCs w:val="19"/>
              </w:rPr>
              <w:t xml:space="preserve">  </w:t>
            </w:r>
          </w:p>
        </w:tc>
        <w:tc>
          <w:tcPr>
            <w:tcW w:w="2250" w:type="dxa"/>
          </w:tcPr>
          <w:p w14:paraId="5D270448" w14:textId="1579C4CA" w:rsidR="00095690" w:rsidRPr="009E7105" w:rsidRDefault="00095690" w:rsidP="00F22421">
            <w:pPr>
              <w:jc w:val="center"/>
              <w:rPr>
                <w:rFonts w:asciiTheme="minorHAnsi" w:hAnsiTheme="minorHAnsi" w:cs="Times New Roman"/>
                <w:sz w:val="19"/>
                <w:szCs w:val="19"/>
              </w:rPr>
            </w:pPr>
            <w:r w:rsidRPr="009E7105">
              <w:rPr>
                <w:rFonts w:asciiTheme="minorHAnsi" w:eastAsia="Times New Roman" w:hAnsiTheme="minorHAnsi" w:cs="Times New Roman"/>
                <w:color w:val="auto"/>
                <w:sz w:val="19"/>
                <w:szCs w:val="19"/>
              </w:rPr>
              <w:t>National Institute of Learning Outcomes Assessment, Lumina Foundation</w:t>
            </w:r>
          </w:p>
        </w:tc>
      </w:tr>
      <w:tr w:rsidR="00095690" w14:paraId="21347CAC" w14:textId="77777777" w:rsidTr="00210234">
        <w:trPr>
          <w:trHeight w:val="512"/>
        </w:trPr>
        <w:tc>
          <w:tcPr>
            <w:tcW w:w="1710" w:type="dxa"/>
            <w:vMerge/>
            <w:shd w:val="clear" w:color="auto" w:fill="EAF1DD" w:themeFill="accent3" w:themeFillTint="33"/>
          </w:tcPr>
          <w:p w14:paraId="216CC0C9" w14:textId="77777777" w:rsidR="00095690" w:rsidRPr="00A007DE" w:rsidRDefault="00095690">
            <w:pPr>
              <w:rPr>
                <w:rFonts w:asciiTheme="minorHAnsi" w:hAnsiTheme="minorHAnsi"/>
                <w:sz w:val="20"/>
                <w:szCs w:val="20"/>
              </w:rPr>
            </w:pPr>
          </w:p>
        </w:tc>
        <w:tc>
          <w:tcPr>
            <w:tcW w:w="540" w:type="dxa"/>
          </w:tcPr>
          <w:p w14:paraId="642C9D0F" w14:textId="77777777" w:rsidR="00095690" w:rsidRPr="009E7105" w:rsidRDefault="00095690" w:rsidP="005E223B">
            <w:pPr>
              <w:pStyle w:val="ListParagraph"/>
              <w:numPr>
                <w:ilvl w:val="0"/>
                <w:numId w:val="37"/>
              </w:numPr>
              <w:ind w:left="288"/>
              <w:rPr>
                <w:rFonts w:asciiTheme="minorHAnsi" w:eastAsia="Times New Roman" w:hAnsiTheme="minorHAnsi" w:cs="Times New Roman"/>
                <w:sz w:val="19"/>
                <w:szCs w:val="19"/>
              </w:rPr>
            </w:pPr>
          </w:p>
        </w:tc>
        <w:tc>
          <w:tcPr>
            <w:tcW w:w="9810" w:type="dxa"/>
          </w:tcPr>
          <w:p w14:paraId="1E923193" w14:textId="7B7F33AC" w:rsidR="00095690" w:rsidRPr="009E7105" w:rsidRDefault="00095690" w:rsidP="00A14BCC">
            <w:pPr>
              <w:rPr>
                <w:rFonts w:asciiTheme="minorHAnsi" w:eastAsia="Times New Roman" w:hAnsiTheme="minorHAnsi" w:cs="Times New Roman"/>
                <w:color w:val="auto"/>
                <w:sz w:val="19"/>
                <w:szCs w:val="19"/>
              </w:rPr>
            </w:pPr>
            <w:r w:rsidRPr="009E7105">
              <w:rPr>
                <w:rFonts w:asciiTheme="minorHAnsi" w:eastAsia="Times New Roman" w:hAnsiTheme="minorHAnsi" w:cs="Times New Roman"/>
                <w:b/>
                <w:color w:val="auto"/>
                <w:sz w:val="19"/>
                <w:szCs w:val="19"/>
              </w:rPr>
              <w:t>Liberal Education and America’s Promise (LEAP)</w:t>
            </w:r>
            <w:r w:rsidRPr="009E7105">
              <w:rPr>
                <w:rFonts w:asciiTheme="minorHAnsi" w:eastAsia="Times New Roman" w:hAnsiTheme="minorHAnsi" w:cs="Times New Roman"/>
                <w:color w:val="auto"/>
                <w:sz w:val="19"/>
                <w:szCs w:val="19"/>
              </w:rPr>
              <w:t xml:space="preserve"> is a national advocacy, campus action, and research initiative that champions</w:t>
            </w:r>
            <w:r>
              <w:rPr>
                <w:rFonts w:asciiTheme="minorHAnsi" w:eastAsia="Times New Roman" w:hAnsiTheme="minorHAnsi" w:cs="Times New Roman"/>
                <w:color w:val="auto"/>
                <w:sz w:val="19"/>
                <w:szCs w:val="19"/>
              </w:rPr>
              <w:t xml:space="preserve"> the</w:t>
            </w:r>
            <w:r w:rsidRPr="009E7105">
              <w:rPr>
                <w:rFonts w:asciiTheme="minorHAnsi" w:eastAsia="Times New Roman" w:hAnsiTheme="minorHAnsi" w:cs="Times New Roman"/>
                <w:color w:val="auto"/>
                <w:sz w:val="19"/>
                <w:szCs w:val="19"/>
              </w:rPr>
              <w:t xml:space="preserve"> importance of a 21</w:t>
            </w:r>
            <w:r w:rsidRPr="009E7105">
              <w:rPr>
                <w:rFonts w:asciiTheme="minorHAnsi" w:eastAsia="Times New Roman" w:hAnsiTheme="minorHAnsi" w:cs="Times New Roman"/>
                <w:color w:val="auto"/>
                <w:sz w:val="19"/>
                <w:szCs w:val="19"/>
                <w:vertAlign w:val="superscript"/>
              </w:rPr>
              <w:t>st</w:t>
            </w:r>
            <w:r w:rsidRPr="009E7105">
              <w:rPr>
                <w:rFonts w:asciiTheme="minorHAnsi" w:eastAsia="Times New Roman" w:hAnsiTheme="minorHAnsi" w:cs="Times New Roman"/>
                <w:color w:val="auto"/>
                <w:sz w:val="19"/>
                <w:szCs w:val="19"/>
              </w:rPr>
              <w:t xml:space="preserve">  century liberal education for individuals and a nation dependent on economic creativity and democratic vitality:  </w:t>
            </w:r>
            <w:hyperlink r:id="rId14">
              <w:r w:rsidRPr="009E7105">
                <w:rPr>
                  <w:rFonts w:asciiTheme="minorHAnsi" w:eastAsia="Times New Roman" w:hAnsiTheme="minorHAnsi" w:cs="Times New Roman"/>
                  <w:color w:val="auto"/>
                  <w:sz w:val="19"/>
                  <w:szCs w:val="19"/>
                  <w:u w:val="single"/>
                </w:rPr>
                <w:t>https://www.aacu.org/leap</w:t>
              </w:r>
            </w:hyperlink>
            <w:r w:rsidRPr="009E7105">
              <w:rPr>
                <w:rFonts w:asciiTheme="minorHAnsi" w:eastAsia="Times New Roman" w:hAnsiTheme="minorHAnsi" w:cs="Times New Roman"/>
                <w:color w:val="auto"/>
                <w:sz w:val="19"/>
                <w:szCs w:val="19"/>
              </w:rPr>
              <w:t xml:space="preserve">.  Its efficacy and scalability are being tested in the </w:t>
            </w:r>
            <w:r w:rsidRPr="00AC2EC0">
              <w:rPr>
                <w:rFonts w:asciiTheme="minorHAnsi" w:eastAsia="Times New Roman" w:hAnsiTheme="minorHAnsi" w:cs="Times New Roman"/>
                <w:b/>
                <w:color w:val="auto"/>
                <w:sz w:val="19"/>
                <w:szCs w:val="19"/>
              </w:rPr>
              <w:t>Multi-State Collaborative to Advance Learning Outcomes Assessment</w:t>
            </w:r>
            <w:r w:rsidRPr="009E7105">
              <w:rPr>
                <w:rFonts w:asciiTheme="minorHAnsi" w:eastAsia="Times New Roman" w:hAnsiTheme="minorHAnsi" w:cs="Times New Roman"/>
                <w:color w:val="auto"/>
                <w:sz w:val="19"/>
                <w:szCs w:val="19"/>
              </w:rPr>
              <w:t xml:space="preserve"> led by SHEEO involving about 100 colleges/universities in 12 states.</w:t>
            </w:r>
            <w:r w:rsidRPr="009E7105">
              <w:rPr>
                <w:rFonts w:asciiTheme="minorHAnsi" w:hAnsiTheme="minorHAnsi"/>
                <w:color w:val="auto"/>
                <w:sz w:val="19"/>
                <w:szCs w:val="19"/>
              </w:rPr>
              <w:t xml:space="preserve"> </w:t>
            </w:r>
            <w:hyperlink r:id="rId15">
              <w:r w:rsidRPr="009E7105">
                <w:rPr>
                  <w:rFonts w:asciiTheme="minorHAnsi" w:hAnsiTheme="minorHAnsi"/>
                  <w:color w:val="auto"/>
                  <w:sz w:val="19"/>
                  <w:szCs w:val="19"/>
                  <w:u w:val="single"/>
                </w:rPr>
                <w:t>https://www/sheeo.org/projects/msc-multi-state-collaborative-learning-outcomes-assessment</w:t>
              </w:r>
            </w:hyperlink>
            <w:r w:rsidRPr="009E7105">
              <w:rPr>
                <w:rFonts w:asciiTheme="minorHAnsi" w:hAnsiTheme="minorHAnsi"/>
                <w:color w:val="auto"/>
                <w:sz w:val="19"/>
                <w:szCs w:val="19"/>
              </w:rPr>
              <w:t xml:space="preserve">. </w:t>
            </w:r>
            <w:r w:rsidRPr="00AC2EC0">
              <w:rPr>
                <w:rFonts w:asciiTheme="minorHAnsi" w:hAnsiTheme="minorHAnsi"/>
                <w:b/>
                <w:color w:val="auto"/>
                <w:sz w:val="19"/>
                <w:szCs w:val="19"/>
              </w:rPr>
              <w:t>General Education Maps and Markers (GEMs)</w:t>
            </w:r>
            <w:r w:rsidRPr="009E7105">
              <w:rPr>
                <w:rFonts w:asciiTheme="minorHAnsi" w:hAnsiTheme="minorHAnsi"/>
                <w:color w:val="auto"/>
                <w:sz w:val="19"/>
                <w:szCs w:val="19"/>
              </w:rPr>
              <w:t xml:space="preserve"> shows educators how to apply the proficiencies and competencies articulated in the Degree Qualifications Profile (DQP) to the design of integrative and equity-minded general education programs, from first to final year.  Guides from this project are available at </w:t>
            </w:r>
            <w:hyperlink r:id="rId16" w:history="1">
              <w:r w:rsidRPr="009E7105">
                <w:rPr>
                  <w:rStyle w:val="Hyperlink"/>
                  <w:rFonts w:asciiTheme="minorHAnsi" w:hAnsiTheme="minorHAnsi"/>
                  <w:color w:val="auto"/>
                  <w:sz w:val="19"/>
                  <w:szCs w:val="19"/>
                </w:rPr>
                <w:t>www.aacu.org/GEMs</w:t>
              </w:r>
            </w:hyperlink>
            <w:r w:rsidRPr="009E7105">
              <w:rPr>
                <w:rFonts w:asciiTheme="minorHAnsi" w:hAnsiTheme="minorHAnsi"/>
                <w:color w:val="auto"/>
                <w:sz w:val="19"/>
                <w:szCs w:val="19"/>
              </w:rPr>
              <w:t xml:space="preserve"> .  Several dozen colleges, universities and community colleges are applying GEMs guidelines through AAC&amp;U grant funded LEAP initiatives.   A GEMs report on digital strategies for achieving key learning outcomes will be released in 2016.</w:t>
            </w:r>
          </w:p>
        </w:tc>
        <w:tc>
          <w:tcPr>
            <w:tcW w:w="2250" w:type="dxa"/>
          </w:tcPr>
          <w:p w14:paraId="6984A82C" w14:textId="59EE59D3" w:rsidR="00095690" w:rsidRPr="009E7105" w:rsidRDefault="00095690" w:rsidP="00F22421">
            <w:pPr>
              <w:jc w:val="center"/>
              <w:rPr>
                <w:rFonts w:asciiTheme="minorHAnsi" w:hAnsiTheme="minorHAnsi" w:cs="Times New Roman"/>
                <w:sz w:val="19"/>
                <w:szCs w:val="19"/>
              </w:rPr>
            </w:pPr>
            <w:r w:rsidRPr="009E7105">
              <w:rPr>
                <w:rFonts w:asciiTheme="minorHAnsi" w:eastAsia="Times New Roman" w:hAnsiTheme="minorHAnsi" w:cs="Times New Roman"/>
                <w:color w:val="auto"/>
                <w:sz w:val="19"/>
                <w:szCs w:val="19"/>
              </w:rPr>
              <w:t>AAC&amp;U member contributions --  Gates &amp;  Lumina Foundations</w:t>
            </w:r>
          </w:p>
        </w:tc>
      </w:tr>
      <w:tr w:rsidR="00095690" w14:paraId="701932EC" w14:textId="77777777" w:rsidTr="00210234">
        <w:trPr>
          <w:trHeight w:val="512"/>
        </w:trPr>
        <w:tc>
          <w:tcPr>
            <w:tcW w:w="1710" w:type="dxa"/>
            <w:vMerge/>
            <w:shd w:val="clear" w:color="auto" w:fill="EAF1DD" w:themeFill="accent3" w:themeFillTint="33"/>
          </w:tcPr>
          <w:p w14:paraId="324609AE" w14:textId="77777777" w:rsidR="00095690" w:rsidRPr="00A007DE" w:rsidRDefault="00095690">
            <w:pPr>
              <w:rPr>
                <w:rFonts w:asciiTheme="minorHAnsi" w:hAnsiTheme="minorHAnsi"/>
                <w:sz w:val="20"/>
                <w:szCs w:val="20"/>
              </w:rPr>
            </w:pPr>
          </w:p>
        </w:tc>
        <w:tc>
          <w:tcPr>
            <w:tcW w:w="540" w:type="dxa"/>
          </w:tcPr>
          <w:p w14:paraId="43EE33EC" w14:textId="77777777" w:rsidR="00095690" w:rsidRPr="009E7105" w:rsidRDefault="00095690" w:rsidP="005E223B">
            <w:pPr>
              <w:pStyle w:val="ListParagraph"/>
              <w:numPr>
                <w:ilvl w:val="0"/>
                <w:numId w:val="37"/>
              </w:numPr>
              <w:ind w:left="288"/>
              <w:rPr>
                <w:rFonts w:asciiTheme="minorHAnsi" w:eastAsia="Times New Roman" w:hAnsiTheme="minorHAnsi" w:cs="Times New Roman"/>
                <w:sz w:val="19"/>
                <w:szCs w:val="19"/>
              </w:rPr>
            </w:pPr>
          </w:p>
        </w:tc>
        <w:tc>
          <w:tcPr>
            <w:tcW w:w="9810" w:type="dxa"/>
          </w:tcPr>
          <w:p w14:paraId="244ACB2A" w14:textId="27F8D5BC" w:rsidR="00095690" w:rsidRPr="009E7105" w:rsidRDefault="00095690" w:rsidP="00A14BCC">
            <w:pPr>
              <w:rPr>
                <w:rFonts w:asciiTheme="minorHAnsi" w:eastAsia="Times New Roman" w:hAnsiTheme="minorHAnsi" w:cs="Times New Roman"/>
                <w:color w:val="auto"/>
                <w:sz w:val="19"/>
                <w:szCs w:val="19"/>
              </w:rPr>
            </w:pPr>
            <w:r w:rsidRPr="009E7105">
              <w:rPr>
                <w:rFonts w:asciiTheme="minorHAnsi" w:eastAsia="Times New Roman" w:hAnsiTheme="minorHAnsi" w:cs="Times New Roman"/>
                <w:color w:val="auto"/>
                <w:sz w:val="19"/>
                <w:szCs w:val="19"/>
              </w:rPr>
              <w:t xml:space="preserve">Supports states’ efforts to ensure all students graduate from high school ready for college and careers and is in the early stages of work to understand and make recommendations about the role of k-12 in addressing the “skills gap.” Achieve </w:t>
            </w:r>
            <w:r w:rsidRPr="009E7105">
              <w:rPr>
                <w:rFonts w:asciiTheme="minorHAnsi" w:eastAsia="Times New Roman" w:hAnsiTheme="minorHAnsi" w:cs="Times New Roman"/>
                <w:b/>
                <w:color w:val="auto"/>
                <w:sz w:val="19"/>
                <w:szCs w:val="19"/>
              </w:rPr>
              <w:t xml:space="preserve"> </w:t>
            </w:r>
            <w:r w:rsidRPr="009E7105">
              <w:rPr>
                <w:rFonts w:asciiTheme="minorHAnsi" w:eastAsia="Times New Roman" w:hAnsiTheme="minorHAnsi" w:cs="Times New Roman"/>
                <w:color w:val="auto"/>
                <w:sz w:val="19"/>
                <w:szCs w:val="19"/>
              </w:rPr>
              <w:t xml:space="preserve">provides targeted policy and implementation support to a group of states committed to advancing K-12 competency-based pathways (CBP) to college and career readiness for all students. </w:t>
            </w:r>
            <w:r w:rsidRPr="009E7105">
              <w:rPr>
                <w:rFonts w:asciiTheme="minorHAnsi" w:hAnsiTheme="minorHAnsi"/>
                <w:color w:val="auto"/>
                <w:sz w:val="19"/>
                <w:szCs w:val="19"/>
              </w:rPr>
              <w:t xml:space="preserve"> </w:t>
            </w:r>
            <w:hyperlink r:id="rId17" w:history="1">
              <w:r w:rsidRPr="00AC2EC0">
                <w:rPr>
                  <w:rStyle w:val="Hyperlink"/>
                  <w:rFonts w:asciiTheme="minorHAnsi" w:hAnsiTheme="minorHAnsi"/>
                  <w:b/>
                  <w:color w:val="auto"/>
                  <w:sz w:val="19"/>
                  <w:szCs w:val="19"/>
                </w:rPr>
                <w:t>CBP State Partnership: Support to States in Advancing Competency-Based Pathways</w:t>
              </w:r>
            </w:hyperlink>
            <w:r w:rsidRPr="00AC2EC0">
              <w:rPr>
                <w:rStyle w:val="Hyperlink"/>
                <w:rFonts w:asciiTheme="minorHAnsi" w:hAnsiTheme="minorHAnsi"/>
                <w:b/>
                <w:color w:val="auto"/>
                <w:sz w:val="19"/>
                <w:szCs w:val="19"/>
              </w:rPr>
              <w:t xml:space="preserve">.    </w:t>
            </w:r>
          </w:p>
        </w:tc>
        <w:tc>
          <w:tcPr>
            <w:tcW w:w="2250" w:type="dxa"/>
          </w:tcPr>
          <w:p w14:paraId="6460C958" w14:textId="102C5E39" w:rsidR="00095690" w:rsidRPr="009E7105" w:rsidRDefault="00095690" w:rsidP="00F22421">
            <w:pPr>
              <w:jc w:val="center"/>
              <w:rPr>
                <w:rFonts w:asciiTheme="minorHAnsi" w:hAnsiTheme="minorHAnsi" w:cs="Times New Roman"/>
                <w:sz w:val="19"/>
                <w:szCs w:val="19"/>
              </w:rPr>
            </w:pPr>
            <w:r w:rsidRPr="009E7105">
              <w:rPr>
                <w:rFonts w:asciiTheme="minorHAnsi" w:eastAsia="Times New Roman" w:hAnsiTheme="minorHAnsi" w:cs="Times New Roman"/>
                <w:sz w:val="19"/>
                <w:szCs w:val="19"/>
              </w:rPr>
              <w:t>Achieve</w:t>
            </w:r>
          </w:p>
        </w:tc>
      </w:tr>
      <w:tr w:rsidR="005438BD" w14:paraId="1267DECB" w14:textId="77777777" w:rsidTr="00210234">
        <w:trPr>
          <w:trHeight w:val="512"/>
        </w:trPr>
        <w:tc>
          <w:tcPr>
            <w:tcW w:w="1710" w:type="dxa"/>
            <w:shd w:val="clear" w:color="auto" w:fill="EAF1DD" w:themeFill="accent3" w:themeFillTint="33"/>
          </w:tcPr>
          <w:p w14:paraId="7BAAA78B" w14:textId="720E76BD" w:rsidR="005438BD" w:rsidRPr="00A007DE" w:rsidRDefault="005438BD">
            <w:pPr>
              <w:rPr>
                <w:rFonts w:asciiTheme="minorHAnsi" w:hAnsiTheme="minorHAnsi"/>
                <w:sz w:val="20"/>
                <w:szCs w:val="20"/>
              </w:rPr>
            </w:pPr>
            <w:r w:rsidRPr="00A007DE">
              <w:rPr>
                <w:rFonts w:asciiTheme="minorHAnsi" w:hAnsiTheme="minorHAnsi" w:cs="Times New Roman"/>
                <w:sz w:val="20"/>
                <w:szCs w:val="20"/>
              </w:rPr>
              <w:t xml:space="preserve">Institutionalizing credentialing in the military </w:t>
            </w:r>
          </w:p>
        </w:tc>
        <w:tc>
          <w:tcPr>
            <w:tcW w:w="540" w:type="dxa"/>
          </w:tcPr>
          <w:p w14:paraId="2FEE3309" w14:textId="77777777" w:rsidR="005438BD" w:rsidRPr="00C71464" w:rsidRDefault="005438BD" w:rsidP="00CA7477">
            <w:pPr>
              <w:pStyle w:val="ListParagraph"/>
              <w:numPr>
                <w:ilvl w:val="0"/>
                <w:numId w:val="37"/>
              </w:numPr>
              <w:ind w:left="288"/>
              <w:jc w:val="center"/>
              <w:rPr>
                <w:rFonts w:asciiTheme="minorHAnsi" w:hAnsiTheme="minorHAnsi" w:cs="Times New Roman"/>
                <w:b/>
                <w:sz w:val="19"/>
                <w:szCs w:val="19"/>
              </w:rPr>
            </w:pPr>
          </w:p>
          <w:p w14:paraId="5CEA74E8" w14:textId="77777777" w:rsidR="005438BD" w:rsidRPr="005438BD" w:rsidRDefault="005438BD" w:rsidP="005438BD">
            <w:pPr>
              <w:rPr>
                <w:rFonts w:asciiTheme="minorHAnsi" w:eastAsia="Times New Roman" w:hAnsiTheme="minorHAnsi" w:cs="Times New Roman"/>
                <w:sz w:val="19"/>
                <w:szCs w:val="19"/>
              </w:rPr>
            </w:pPr>
          </w:p>
        </w:tc>
        <w:tc>
          <w:tcPr>
            <w:tcW w:w="9810" w:type="dxa"/>
          </w:tcPr>
          <w:p w14:paraId="6028BC34" w14:textId="77777777" w:rsidR="005438BD" w:rsidRPr="00C71464" w:rsidRDefault="005438BD" w:rsidP="00CA7477">
            <w:pPr>
              <w:rPr>
                <w:rFonts w:asciiTheme="minorHAnsi" w:hAnsiTheme="minorHAnsi"/>
                <w:color w:val="auto"/>
                <w:sz w:val="19"/>
                <w:szCs w:val="19"/>
                <w:u w:val="single"/>
              </w:rPr>
            </w:pPr>
            <w:r w:rsidRPr="00C71464">
              <w:rPr>
                <w:rFonts w:asciiTheme="minorHAnsi" w:hAnsiTheme="minorHAnsi"/>
                <w:b/>
                <w:color w:val="auto"/>
                <w:sz w:val="19"/>
                <w:szCs w:val="19"/>
              </w:rPr>
              <w:t xml:space="preserve">Military Credentialing and Licensing Task Force </w:t>
            </w:r>
            <w:r w:rsidRPr="00C71464">
              <w:rPr>
                <w:rFonts w:asciiTheme="minorHAnsi" w:hAnsiTheme="minorHAnsi"/>
                <w:color w:val="auto"/>
                <w:sz w:val="19"/>
                <w:szCs w:val="19"/>
              </w:rPr>
              <w:t>oversees and coordinates DOD and Service level initiatives related to credentialing and licensing.</w:t>
            </w:r>
            <w:hyperlink r:id="rId18">
              <w:r w:rsidRPr="00C71464">
                <w:rPr>
                  <w:rFonts w:asciiTheme="minorHAnsi" w:hAnsiTheme="minorHAnsi"/>
                  <w:color w:val="auto"/>
                  <w:sz w:val="19"/>
                  <w:szCs w:val="19"/>
                </w:rPr>
                <w:t xml:space="preserve"> </w:t>
              </w:r>
            </w:hyperlink>
            <w:hyperlink r:id="rId19">
              <w:r w:rsidRPr="00C71464">
                <w:rPr>
                  <w:rFonts w:asciiTheme="minorHAnsi" w:hAnsiTheme="minorHAnsi"/>
                  <w:color w:val="auto"/>
                  <w:sz w:val="19"/>
                  <w:szCs w:val="19"/>
                  <w:u w:val="single"/>
                </w:rPr>
                <w:t>http://blog.dol.gov/tag/defense-department-military-credentialing-and-licensing-task-force/</w:t>
              </w:r>
            </w:hyperlink>
            <w:hyperlink r:id="rId20">
              <w:r w:rsidRPr="00C71464">
                <w:rPr>
                  <w:rFonts w:asciiTheme="minorHAnsi" w:hAnsiTheme="minorHAnsi"/>
                  <w:color w:val="auto"/>
                  <w:sz w:val="19"/>
                  <w:szCs w:val="19"/>
                  <w:u w:val="single"/>
                </w:rPr>
                <w:t>http://www.nga.org/files/live/sites/NGA/files/pdf/2014/1410VeteransLicensingDoDCredentialing_Cain.pdf</w:t>
              </w:r>
            </w:hyperlink>
          </w:p>
          <w:p w14:paraId="2993DA66" w14:textId="15C9123A" w:rsidR="005438BD" w:rsidRPr="009E7105" w:rsidRDefault="005438BD" w:rsidP="00A14BCC">
            <w:pPr>
              <w:rPr>
                <w:rFonts w:asciiTheme="minorHAnsi" w:eastAsia="Times New Roman" w:hAnsiTheme="minorHAnsi" w:cs="Times New Roman"/>
                <w:color w:val="auto"/>
                <w:sz w:val="19"/>
                <w:szCs w:val="19"/>
              </w:rPr>
            </w:pPr>
            <w:r w:rsidRPr="00C71464">
              <w:rPr>
                <w:rFonts w:asciiTheme="minorHAnsi" w:hAnsiTheme="minorHAnsi"/>
                <w:color w:val="auto"/>
                <w:sz w:val="19"/>
                <w:szCs w:val="19"/>
              </w:rPr>
              <w:t>NGA conducted a Veterans’ Licensing and Certification Policy Academy for states to support this effort.</w:t>
            </w:r>
          </w:p>
        </w:tc>
        <w:tc>
          <w:tcPr>
            <w:tcW w:w="2250" w:type="dxa"/>
          </w:tcPr>
          <w:p w14:paraId="282E4709" w14:textId="5DCCEDCC" w:rsidR="005438BD" w:rsidRPr="009E7105" w:rsidRDefault="005438BD" w:rsidP="00F22421">
            <w:pPr>
              <w:jc w:val="center"/>
              <w:rPr>
                <w:rFonts w:asciiTheme="minorHAnsi" w:hAnsiTheme="minorHAnsi" w:cs="Times New Roman"/>
                <w:sz w:val="19"/>
                <w:szCs w:val="19"/>
              </w:rPr>
            </w:pPr>
            <w:r w:rsidRPr="00C71464">
              <w:rPr>
                <w:rFonts w:asciiTheme="minorHAnsi" w:hAnsiTheme="minorHAnsi"/>
                <w:sz w:val="19"/>
                <w:szCs w:val="19"/>
              </w:rPr>
              <w:t>U.S. Department of Defense, N</w:t>
            </w:r>
            <w:r>
              <w:rPr>
                <w:rFonts w:asciiTheme="minorHAnsi" w:hAnsiTheme="minorHAnsi"/>
                <w:sz w:val="19"/>
                <w:szCs w:val="19"/>
              </w:rPr>
              <w:t>ational Governors Association C</w:t>
            </w:r>
            <w:r w:rsidRPr="00C71464">
              <w:rPr>
                <w:rFonts w:asciiTheme="minorHAnsi" w:hAnsiTheme="minorHAnsi"/>
                <w:sz w:val="19"/>
                <w:szCs w:val="19"/>
              </w:rPr>
              <w:t>enter for Best Practices</w:t>
            </w:r>
          </w:p>
        </w:tc>
      </w:tr>
      <w:tr w:rsidR="00FF2113" w14:paraId="4E0DFC7B" w14:textId="77777777" w:rsidTr="00210234">
        <w:trPr>
          <w:trHeight w:val="764"/>
        </w:trPr>
        <w:tc>
          <w:tcPr>
            <w:tcW w:w="1710" w:type="dxa"/>
            <w:vMerge w:val="restart"/>
            <w:shd w:val="clear" w:color="auto" w:fill="EAF1DD" w:themeFill="accent3" w:themeFillTint="33"/>
          </w:tcPr>
          <w:p w14:paraId="177FFF58" w14:textId="77777777" w:rsidR="00FF2113" w:rsidRDefault="00FF2113" w:rsidP="00A55FE6">
            <w:pPr>
              <w:rPr>
                <w:rFonts w:asciiTheme="minorHAnsi" w:eastAsia="Times New Roman" w:hAnsiTheme="minorHAnsi" w:cs="Times New Roman"/>
                <w:sz w:val="20"/>
                <w:szCs w:val="20"/>
              </w:rPr>
            </w:pPr>
          </w:p>
          <w:p w14:paraId="100CC748" w14:textId="43E8752C" w:rsidR="00FF2113" w:rsidRPr="00A007DE" w:rsidRDefault="00FF2113" w:rsidP="00A55FE6">
            <w:pPr>
              <w:rPr>
                <w:rFonts w:asciiTheme="minorHAnsi" w:hAnsiTheme="minorHAnsi"/>
                <w:sz w:val="20"/>
                <w:szCs w:val="20"/>
              </w:rPr>
            </w:pPr>
            <w:r w:rsidRPr="00A007DE">
              <w:rPr>
                <w:rFonts w:asciiTheme="minorHAnsi" w:eastAsia="Times New Roman" w:hAnsiTheme="minorHAnsi" w:cs="Times New Roman"/>
                <w:sz w:val="20"/>
                <w:szCs w:val="20"/>
              </w:rPr>
              <w:t>Competency-based transcript to increase transparency for employers</w:t>
            </w:r>
          </w:p>
        </w:tc>
        <w:tc>
          <w:tcPr>
            <w:tcW w:w="540" w:type="dxa"/>
          </w:tcPr>
          <w:p w14:paraId="5545BEE4" w14:textId="0B043650" w:rsidR="00FF2113" w:rsidRPr="009E7105" w:rsidRDefault="00FF2113" w:rsidP="005E223B">
            <w:pPr>
              <w:pStyle w:val="ListParagraph"/>
              <w:numPr>
                <w:ilvl w:val="0"/>
                <w:numId w:val="37"/>
              </w:numPr>
              <w:ind w:left="288"/>
              <w:rPr>
                <w:rFonts w:ascii="Times New Roman" w:eastAsia="Times New Roman" w:hAnsi="Times New Roman" w:cs="Times New Roman"/>
                <w:sz w:val="19"/>
                <w:szCs w:val="19"/>
              </w:rPr>
            </w:pPr>
          </w:p>
        </w:tc>
        <w:tc>
          <w:tcPr>
            <w:tcW w:w="9810" w:type="dxa"/>
          </w:tcPr>
          <w:p w14:paraId="6FB91155" w14:textId="77777777" w:rsidR="00FF2113" w:rsidRPr="009E7105" w:rsidRDefault="00FF2113" w:rsidP="007D3CC5">
            <w:pPr>
              <w:rPr>
                <w:rFonts w:asciiTheme="minorHAnsi" w:hAnsiTheme="minorHAnsi"/>
                <w:color w:val="auto"/>
                <w:sz w:val="19"/>
                <w:szCs w:val="19"/>
              </w:rPr>
            </w:pPr>
            <w:r w:rsidRPr="009E7105">
              <w:rPr>
                <w:rFonts w:asciiTheme="minorHAnsi" w:eastAsia="Times New Roman" w:hAnsiTheme="minorHAnsi" w:cs="Times New Roman"/>
                <w:color w:val="auto"/>
                <w:sz w:val="19"/>
                <w:szCs w:val="19"/>
              </w:rPr>
              <w:t xml:space="preserve">Postsecondary Electronic Standards Council’s </w:t>
            </w:r>
            <w:r w:rsidRPr="009E7105">
              <w:rPr>
                <w:rFonts w:asciiTheme="minorHAnsi" w:eastAsia="Times New Roman" w:hAnsiTheme="minorHAnsi" w:cs="Times New Roman"/>
                <w:b/>
                <w:color w:val="auto"/>
                <w:sz w:val="19"/>
                <w:szCs w:val="19"/>
              </w:rPr>
              <w:t>Task Force on Academic Credit and Experiential Learning</w:t>
            </w:r>
            <w:r w:rsidRPr="009E7105">
              <w:rPr>
                <w:rFonts w:asciiTheme="minorHAnsi" w:eastAsia="Times New Roman" w:hAnsiTheme="minorHAnsi" w:cs="Times New Roman"/>
                <w:color w:val="auto"/>
                <w:sz w:val="19"/>
                <w:szCs w:val="19"/>
              </w:rPr>
              <w:t xml:space="preserve"> is developing postsecondary electronic standards. </w:t>
            </w:r>
          </w:p>
        </w:tc>
        <w:tc>
          <w:tcPr>
            <w:tcW w:w="2250" w:type="dxa"/>
          </w:tcPr>
          <w:p w14:paraId="29DAE849" w14:textId="4A7AE30E" w:rsidR="00FF2113" w:rsidRPr="009E7105" w:rsidRDefault="00FF2113" w:rsidP="00CF7DA6">
            <w:pPr>
              <w:jc w:val="center"/>
              <w:rPr>
                <w:rFonts w:asciiTheme="minorHAnsi" w:hAnsiTheme="minorHAnsi"/>
                <w:sz w:val="19"/>
                <w:szCs w:val="19"/>
              </w:rPr>
            </w:pPr>
            <w:r w:rsidRPr="009E7105">
              <w:rPr>
                <w:rFonts w:asciiTheme="minorHAnsi" w:eastAsia="Times New Roman" w:hAnsiTheme="minorHAnsi" w:cs="Times New Roman"/>
                <w:sz w:val="19"/>
                <w:szCs w:val="19"/>
              </w:rPr>
              <w:t>American Association of Collegiate Registrars &amp;  Admissions Officers, PESC</w:t>
            </w:r>
          </w:p>
        </w:tc>
      </w:tr>
      <w:tr w:rsidR="00FF2113" w14:paraId="303E6621" w14:textId="77777777" w:rsidTr="00210234">
        <w:trPr>
          <w:trHeight w:val="710"/>
        </w:trPr>
        <w:tc>
          <w:tcPr>
            <w:tcW w:w="1710" w:type="dxa"/>
            <w:vMerge/>
            <w:shd w:val="clear" w:color="auto" w:fill="EAF1DD" w:themeFill="accent3" w:themeFillTint="33"/>
          </w:tcPr>
          <w:p w14:paraId="099BCADC" w14:textId="77777777" w:rsidR="00FF2113" w:rsidRPr="00A007DE" w:rsidRDefault="00FF2113">
            <w:pPr>
              <w:rPr>
                <w:rFonts w:asciiTheme="minorHAnsi" w:hAnsiTheme="minorHAnsi"/>
                <w:sz w:val="20"/>
                <w:szCs w:val="20"/>
              </w:rPr>
            </w:pPr>
          </w:p>
        </w:tc>
        <w:tc>
          <w:tcPr>
            <w:tcW w:w="540" w:type="dxa"/>
          </w:tcPr>
          <w:p w14:paraId="38C21B09" w14:textId="2910F7EE" w:rsidR="00FF2113" w:rsidRPr="009E7105" w:rsidRDefault="00FF2113" w:rsidP="005E223B">
            <w:pPr>
              <w:pStyle w:val="ListParagraph"/>
              <w:numPr>
                <w:ilvl w:val="0"/>
                <w:numId w:val="37"/>
              </w:numPr>
              <w:ind w:left="288"/>
              <w:rPr>
                <w:rFonts w:ascii="Times New Roman" w:eastAsia="Times New Roman" w:hAnsi="Times New Roman" w:cs="Times New Roman"/>
                <w:sz w:val="19"/>
                <w:szCs w:val="19"/>
              </w:rPr>
            </w:pPr>
          </w:p>
        </w:tc>
        <w:tc>
          <w:tcPr>
            <w:tcW w:w="9810" w:type="dxa"/>
          </w:tcPr>
          <w:p w14:paraId="0D3EA810" w14:textId="32C7718D" w:rsidR="00FF2113" w:rsidRPr="00D6735E" w:rsidRDefault="00FF2113" w:rsidP="00B430BA">
            <w:pPr>
              <w:rPr>
                <w:rFonts w:asciiTheme="minorHAnsi" w:eastAsia="Times New Roman" w:hAnsiTheme="minorHAnsi" w:cs="Times New Roman"/>
                <w:color w:val="auto"/>
                <w:sz w:val="19"/>
                <w:szCs w:val="19"/>
                <w:u w:val="single"/>
              </w:rPr>
            </w:pPr>
            <w:r w:rsidRPr="009E7105">
              <w:rPr>
                <w:rFonts w:asciiTheme="minorHAnsi" w:eastAsia="Times New Roman" w:hAnsiTheme="minorHAnsi" w:cs="Times New Roman"/>
                <w:b/>
                <w:color w:val="auto"/>
                <w:sz w:val="19"/>
                <w:szCs w:val="19"/>
              </w:rPr>
              <w:t>CBE and eT</w:t>
            </w:r>
            <w:r w:rsidRPr="009E7105">
              <w:rPr>
                <w:rFonts w:asciiTheme="minorHAnsi" w:eastAsia="Times New Roman" w:hAnsiTheme="minorHAnsi" w:cs="Times New Roman"/>
                <w:color w:val="auto"/>
                <w:sz w:val="19"/>
                <w:szCs w:val="19"/>
              </w:rPr>
              <w:t xml:space="preserve"> (extended transcript) initiative to create and test a conceptual framework and series of prototypes developed in conjunction with IMS members, AACRAO, C-BEN (Competency Based Education Network): </w:t>
            </w:r>
            <w:hyperlink r:id="rId21" w:history="1">
              <w:r w:rsidRPr="009E7105">
                <w:rPr>
                  <w:rStyle w:val="Hyperlink"/>
                  <w:rFonts w:asciiTheme="minorHAnsi" w:eastAsia="Times New Roman" w:hAnsiTheme="minorHAnsi" w:cs="Times New Roman"/>
                  <w:color w:val="auto"/>
                  <w:sz w:val="19"/>
                  <w:szCs w:val="19"/>
                </w:rPr>
                <w:t>http://www.imsglobal.org/cbe/index.html</w:t>
              </w:r>
            </w:hyperlink>
            <w:r>
              <w:rPr>
                <w:rStyle w:val="Hyperlink"/>
                <w:rFonts w:asciiTheme="minorHAnsi" w:eastAsia="Times New Roman" w:hAnsiTheme="minorHAnsi" w:cs="Times New Roman"/>
                <w:color w:val="auto"/>
                <w:sz w:val="19"/>
                <w:szCs w:val="19"/>
              </w:rPr>
              <w:t xml:space="preserve"> </w:t>
            </w:r>
          </w:p>
        </w:tc>
        <w:tc>
          <w:tcPr>
            <w:tcW w:w="2250" w:type="dxa"/>
          </w:tcPr>
          <w:p w14:paraId="37C2337F" w14:textId="0A30168A" w:rsidR="00FF2113" w:rsidRPr="009E7105" w:rsidRDefault="00FF2113" w:rsidP="0099185D">
            <w:pPr>
              <w:jc w:val="center"/>
              <w:rPr>
                <w:rFonts w:asciiTheme="minorHAnsi" w:hAnsiTheme="minorHAnsi"/>
                <w:sz w:val="19"/>
                <w:szCs w:val="19"/>
              </w:rPr>
            </w:pPr>
            <w:r w:rsidRPr="009E7105">
              <w:rPr>
                <w:rFonts w:asciiTheme="minorHAnsi" w:eastAsia="Times New Roman" w:hAnsiTheme="minorHAnsi" w:cs="Times New Roman"/>
                <w:sz w:val="19"/>
                <w:szCs w:val="19"/>
              </w:rPr>
              <w:t>IMS</w:t>
            </w:r>
            <w:r w:rsidR="00455396">
              <w:rPr>
                <w:rFonts w:asciiTheme="minorHAnsi" w:eastAsia="Times New Roman" w:hAnsiTheme="minorHAnsi" w:cs="Times New Roman"/>
                <w:sz w:val="19"/>
                <w:szCs w:val="19"/>
              </w:rPr>
              <w:t xml:space="preserve"> Global</w:t>
            </w:r>
          </w:p>
        </w:tc>
      </w:tr>
      <w:tr w:rsidR="00FF2113" w14:paraId="65FAB5A5" w14:textId="77777777" w:rsidTr="00210234">
        <w:trPr>
          <w:trHeight w:val="449"/>
        </w:trPr>
        <w:tc>
          <w:tcPr>
            <w:tcW w:w="1710" w:type="dxa"/>
            <w:vMerge w:val="restart"/>
            <w:shd w:val="clear" w:color="auto" w:fill="EAF1DD" w:themeFill="accent3" w:themeFillTint="33"/>
          </w:tcPr>
          <w:p w14:paraId="5934375B" w14:textId="77777777" w:rsidR="00FF2113" w:rsidRPr="00A007DE" w:rsidRDefault="00FF2113">
            <w:pPr>
              <w:rPr>
                <w:rFonts w:asciiTheme="minorHAnsi" w:eastAsia="Times New Roman" w:hAnsiTheme="minorHAnsi" w:cs="Times New Roman"/>
                <w:sz w:val="20"/>
                <w:szCs w:val="20"/>
              </w:rPr>
            </w:pPr>
          </w:p>
          <w:p w14:paraId="7C1252F9" w14:textId="77777777" w:rsidR="00FF2113" w:rsidRPr="00A007DE" w:rsidRDefault="00FF2113">
            <w:pPr>
              <w:rPr>
                <w:rFonts w:asciiTheme="minorHAnsi" w:eastAsia="Times New Roman" w:hAnsiTheme="minorHAnsi" w:cs="Times New Roman"/>
                <w:sz w:val="20"/>
                <w:szCs w:val="20"/>
              </w:rPr>
            </w:pPr>
          </w:p>
          <w:p w14:paraId="2BB67DEF" w14:textId="77777777" w:rsidR="00FF2113" w:rsidRPr="00A007DE" w:rsidRDefault="00FF2113">
            <w:pPr>
              <w:rPr>
                <w:rFonts w:asciiTheme="minorHAnsi" w:eastAsia="Times New Roman" w:hAnsiTheme="minorHAnsi" w:cs="Times New Roman"/>
                <w:sz w:val="20"/>
                <w:szCs w:val="20"/>
              </w:rPr>
            </w:pPr>
          </w:p>
          <w:p w14:paraId="15007D35" w14:textId="1F5D5687" w:rsidR="00FF2113" w:rsidRPr="00A007DE" w:rsidRDefault="00FF2113">
            <w:pPr>
              <w:rPr>
                <w:rFonts w:asciiTheme="minorHAnsi" w:eastAsia="Times New Roman" w:hAnsiTheme="minorHAnsi" w:cs="Times New Roman"/>
                <w:sz w:val="20"/>
                <w:szCs w:val="20"/>
              </w:rPr>
            </w:pPr>
            <w:r w:rsidRPr="00A007DE">
              <w:rPr>
                <w:rFonts w:asciiTheme="minorHAnsi" w:eastAsia="Times New Roman" w:hAnsiTheme="minorHAnsi" w:cs="Times New Roman"/>
                <w:sz w:val="20"/>
                <w:szCs w:val="20"/>
              </w:rPr>
              <w:t xml:space="preserve">Digital badges  (digital passports) to communicate clearly about skills </w:t>
            </w:r>
          </w:p>
          <w:p w14:paraId="4ED016B8" w14:textId="77777777" w:rsidR="00FF2113" w:rsidRPr="00A007DE" w:rsidRDefault="00FF2113" w:rsidP="005615E4">
            <w:pPr>
              <w:rPr>
                <w:rFonts w:asciiTheme="minorHAnsi" w:hAnsiTheme="minorHAnsi"/>
                <w:sz w:val="20"/>
                <w:szCs w:val="20"/>
              </w:rPr>
            </w:pPr>
          </w:p>
        </w:tc>
        <w:tc>
          <w:tcPr>
            <w:tcW w:w="540" w:type="dxa"/>
          </w:tcPr>
          <w:p w14:paraId="20048117" w14:textId="2147D8C9" w:rsidR="00FF2113" w:rsidRPr="009E7105" w:rsidRDefault="00FF2113" w:rsidP="005E223B">
            <w:pPr>
              <w:pStyle w:val="ListParagraph"/>
              <w:numPr>
                <w:ilvl w:val="0"/>
                <w:numId w:val="37"/>
              </w:numPr>
              <w:ind w:left="288"/>
              <w:rPr>
                <w:rFonts w:ascii="Times New Roman" w:eastAsia="Times New Roman" w:hAnsi="Times New Roman" w:cs="Times New Roman"/>
                <w:sz w:val="19"/>
                <w:szCs w:val="19"/>
              </w:rPr>
            </w:pPr>
          </w:p>
        </w:tc>
        <w:tc>
          <w:tcPr>
            <w:tcW w:w="9810" w:type="dxa"/>
          </w:tcPr>
          <w:p w14:paraId="67D90693" w14:textId="77777777" w:rsidR="00FF2113" w:rsidRPr="009E7105" w:rsidRDefault="00FF2113" w:rsidP="005E78FA">
            <w:pPr>
              <w:rPr>
                <w:rFonts w:asciiTheme="minorHAnsi" w:hAnsiTheme="minorHAnsi"/>
                <w:color w:val="auto"/>
                <w:sz w:val="19"/>
                <w:szCs w:val="19"/>
              </w:rPr>
            </w:pPr>
            <w:r w:rsidRPr="009E7105">
              <w:rPr>
                <w:rFonts w:asciiTheme="minorHAnsi" w:eastAsia="Times New Roman" w:hAnsiTheme="minorHAnsi" w:cs="Times New Roman"/>
                <w:color w:val="auto"/>
                <w:sz w:val="19"/>
                <w:szCs w:val="19"/>
              </w:rPr>
              <w:t xml:space="preserve">Open badges is a technology standard initially developed and incubated at Mozilla, funded by MacArthur Foundation. The work continues under </w:t>
            </w:r>
            <w:r w:rsidRPr="009E7105">
              <w:rPr>
                <w:rFonts w:asciiTheme="minorHAnsi" w:eastAsia="Times New Roman" w:hAnsiTheme="minorHAnsi" w:cs="Times New Roman"/>
                <w:b/>
                <w:color w:val="auto"/>
                <w:sz w:val="19"/>
                <w:szCs w:val="19"/>
              </w:rPr>
              <w:t xml:space="preserve">Badge Alliance </w:t>
            </w:r>
            <w:r w:rsidRPr="009E7105">
              <w:rPr>
                <w:rFonts w:asciiTheme="minorHAnsi" w:eastAsia="Times New Roman" w:hAnsiTheme="minorHAnsi" w:cs="Times New Roman"/>
                <w:color w:val="auto"/>
                <w:sz w:val="19"/>
                <w:szCs w:val="19"/>
              </w:rPr>
              <w:t xml:space="preserve">which is promoting a network of organizations to come together to lay the foundation for interoperable digital credentials based on an open technical standard: </w:t>
            </w:r>
            <w:hyperlink r:id="rId22">
              <w:r w:rsidRPr="009E7105">
                <w:rPr>
                  <w:rFonts w:asciiTheme="minorHAnsi" w:eastAsia="Times New Roman" w:hAnsiTheme="minorHAnsi" w:cs="Times New Roman"/>
                  <w:color w:val="auto"/>
                  <w:sz w:val="19"/>
                  <w:szCs w:val="19"/>
                  <w:u w:val="single"/>
                </w:rPr>
                <w:t>http://openbadgespec.org/</w:t>
              </w:r>
            </w:hyperlink>
            <w:r w:rsidRPr="009E7105">
              <w:rPr>
                <w:rFonts w:asciiTheme="minorHAnsi" w:eastAsia="Times New Roman" w:hAnsiTheme="minorHAnsi" w:cs="Times New Roman"/>
                <w:color w:val="auto"/>
                <w:sz w:val="19"/>
                <w:szCs w:val="19"/>
              </w:rPr>
              <w:t xml:space="preserve"> </w:t>
            </w:r>
          </w:p>
        </w:tc>
        <w:tc>
          <w:tcPr>
            <w:tcW w:w="2250" w:type="dxa"/>
          </w:tcPr>
          <w:p w14:paraId="0BDE3097" w14:textId="61FAC896" w:rsidR="00FF2113" w:rsidRPr="009E7105" w:rsidRDefault="00FF2113" w:rsidP="0099185D">
            <w:pPr>
              <w:jc w:val="center"/>
              <w:rPr>
                <w:rFonts w:asciiTheme="minorHAnsi" w:hAnsiTheme="minorHAnsi"/>
                <w:sz w:val="19"/>
                <w:szCs w:val="19"/>
              </w:rPr>
            </w:pPr>
            <w:r w:rsidRPr="009E7105">
              <w:rPr>
                <w:rFonts w:asciiTheme="minorHAnsi" w:eastAsia="Times New Roman" w:hAnsiTheme="minorHAnsi" w:cs="Times New Roman"/>
                <w:sz w:val="19"/>
                <w:szCs w:val="19"/>
              </w:rPr>
              <w:t>Badge Alliance, MacArthur Foundation</w:t>
            </w:r>
          </w:p>
        </w:tc>
      </w:tr>
      <w:tr w:rsidR="00FF2113" w14:paraId="03EB1F32" w14:textId="77777777" w:rsidTr="00210234">
        <w:trPr>
          <w:trHeight w:val="449"/>
        </w:trPr>
        <w:tc>
          <w:tcPr>
            <w:tcW w:w="1710" w:type="dxa"/>
            <w:vMerge/>
            <w:shd w:val="clear" w:color="auto" w:fill="EAF1DD" w:themeFill="accent3" w:themeFillTint="33"/>
          </w:tcPr>
          <w:p w14:paraId="5903A891" w14:textId="77777777" w:rsidR="00FF2113" w:rsidRPr="00A007DE" w:rsidRDefault="00FF2113">
            <w:pPr>
              <w:rPr>
                <w:rFonts w:ascii="Times New Roman" w:eastAsia="Times New Roman" w:hAnsi="Times New Roman" w:cs="Times New Roman"/>
                <w:sz w:val="20"/>
                <w:szCs w:val="20"/>
              </w:rPr>
            </w:pPr>
          </w:p>
        </w:tc>
        <w:tc>
          <w:tcPr>
            <w:tcW w:w="540" w:type="dxa"/>
          </w:tcPr>
          <w:p w14:paraId="7C66B610" w14:textId="77777777" w:rsidR="00FF2113" w:rsidRPr="009E7105" w:rsidRDefault="00FF2113" w:rsidP="005E223B">
            <w:pPr>
              <w:pStyle w:val="ListParagraph"/>
              <w:numPr>
                <w:ilvl w:val="0"/>
                <w:numId w:val="37"/>
              </w:numPr>
              <w:ind w:left="288"/>
              <w:rPr>
                <w:rFonts w:ascii="Times New Roman" w:eastAsia="Times New Roman" w:hAnsi="Times New Roman" w:cs="Times New Roman"/>
                <w:sz w:val="19"/>
                <w:szCs w:val="19"/>
              </w:rPr>
            </w:pPr>
          </w:p>
        </w:tc>
        <w:tc>
          <w:tcPr>
            <w:tcW w:w="9810" w:type="dxa"/>
          </w:tcPr>
          <w:p w14:paraId="0B637987" w14:textId="48CB3A88" w:rsidR="00FF2113" w:rsidRPr="009E7105" w:rsidRDefault="00FF2113" w:rsidP="00AA3C5B">
            <w:pPr>
              <w:rPr>
                <w:rFonts w:asciiTheme="minorHAnsi" w:eastAsia="Times New Roman" w:hAnsiTheme="minorHAnsi" w:cs="Times New Roman"/>
                <w:color w:val="auto"/>
                <w:sz w:val="19"/>
                <w:szCs w:val="19"/>
              </w:rPr>
            </w:pPr>
            <w:r w:rsidRPr="009E7105">
              <w:rPr>
                <w:rFonts w:asciiTheme="minorHAnsi" w:eastAsia="Times New Roman" w:hAnsiTheme="minorHAnsi" w:cs="Times New Roman"/>
                <w:color w:val="auto"/>
                <w:sz w:val="19"/>
                <w:szCs w:val="19"/>
              </w:rPr>
              <w:t xml:space="preserve">Building an </w:t>
            </w:r>
            <w:r w:rsidRPr="009E7105">
              <w:rPr>
                <w:rFonts w:asciiTheme="minorHAnsi" w:eastAsia="Times New Roman" w:hAnsiTheme="minorHAnsi" w:cs="Times New Roman"/>
                <w:b/>
                <w:color w:val="auto"/>
                <w:sz w:val="19"/>
                <w:szCs w:val="19"/>
              </w:rPr>
              <w:t>ecosystem of micro-credentials for professional educators</w:t>
            </w:r>
            <w:r w:rsidRPr="009E7105">
              <w:rPr>
                <w:rFonts w:asciiTheme="minorHAnsi" w:eastAsia="Times New Roman" w:hAnsiTheme="minorHAnsi" w:cs="Times New Roman"/>
                <w:color w:val="auto"/>
                <w:sz w:val="19"/>
                <w:szCs w:val="19"/>
              </w:rPr>
              <w:t xml:space="preserve"> through which they can receive formal recognition for skills and competencies they develop throughout their careers. Micro-credentials are awarded based on artifacts and evidence of granular competencies that are assessed by experts and/or peers.</w:t>
            </w:r>
          </w:p>
        </w:tc>
        <w:tc>
          <w:tcPr>
            <w:tcW w:w="2250" w:type="dxa"/>
          </w:tcPr>
          <w:p w14:paraId="0239F14F" w14:textId="56EBC4F4" w:rsidR="00FF2113" w:rsidRPr="009E7105" w:rsidRDefault="00FF2113" w:rsidP="0099185D">
            <w:pPr>
              <w:jc w:val="center"/>
              <w:rPr>
                <w:rFonts w:asciiTheme="minorHAnsi" w:eastAsia="Times New Roman" w:hAnsiTheme="minorHAnsi" w:cs="Times New Roman"/>
                <w:sz w:val="19"/>
                <w:szCs w:val="19"/>
              </w:rPr>
            </w:pPr>
            <w:r w:rsidRPr="009E7105">
              <w:rPr>
                <w:rFonts w:asciiTheme="minorHAnsi" w:hAnsiTheme="minorHAnsi" w:cs="Times New Roman"/>
                <w:sz w:val="19"/>
                <w:szCs w:val="19"/>
              </w:rPr>
              <w:t>Digital Promise</w:t>
            </w:r>
          </w:p>
        </w:tc>
      </w:tr>
      <w:tr w:rsidR="00FF2113" w14:paraId="349564DF" w14:textId="77777777" w:rsidTr="00210234">
        <w:trPr>
          <w:trHeight w:val="449"/>
        </w:trPr>
        <w:tc>
          <w:tcPr>
            <w:tcW w:w="1710" w:type="dxa"/>
            <w:vMerge/>
            <w:shd w:val="clear" w:color="auto" w:fill="EAF1DD" w:themeFill="accent3" w:themeFillTint="33"/>
          </w:tcPr>
          <w:p w14:paraId="0E2FACAA" w14:textId="77777777" w:rsidR="00FF2113" w:rsidRPr="00A007DE" w:rsidRDefault="00FF2113">
            <w:pPr>
              <w:rPr>
                <w:rFonts w:ascii="Times New Roman" w:eastAsia="Times New Roman" w:hAnsi="Times New Roman" w:cs="Times New Roman"/>
                <w:sz w:val="20"/>
                <w:szCs w:val="20"/>
              </w:rPr>
            </w:pPr>
          </w:p>
        </w:tc>
        <w:tc>
          <w:tcPr>
            <w:tcW w:w="540" w:type="dxa"/>
          </w:tcPr>
          <w:p w14:paraId="55FF9B98" w14:textId="77777777" w:rsidR="00FF2113" w:rsidRPr="009E7105" w:rsidRDefault="00FF2113" w:rsidP="005E223B">
            <w:pPr>
              <w:pStyle w:val="ListParagraph"/>
              <w:numPr>
                <w:ilvl w:val="0"/>
                <w:numId w:val="37"/>
              </w:numPr>
              <w:ind w:left="288"/>
              <w:rPr>
                <w:rFonts w:ascii="Times New Roman" w:eastAsia="Times New Roman" w:hAnsi="Times New Roman" w:cs="Times New Roman"/>
                <w:sz w:val="19"/>
                <w:szCs w:val="19"/>
              </w:rPr>
            </w:pPr>
          </w:p>
        </w:tc>
        <w:tc>
          <w:tcPr>
            <w:tcW w:w="9810" w:type="dxa"/>
          </w:tcPr>
          <w:p w14:paraId="4A010C01" w14:textId="6BA4D891" w:rsidR="00FF2113" w:rsidRPr="009E7105" w:rsidRDefault="00FF2113" w:rsidP="00AC2EC0">
            <w:pPr>
              <w:rPr>
                <w:rFonts w:asciiTheme="minorHAnsi" w:eastAsia="Times New Roman" w:hAnsiTheme="minorHAnsi" w:cs="Times New Roman"/>
                <w:color w:val="auto"/>
                <w:sz w:val="19"/>
                <w:szCs w:val="19"/>
              </w:rPr>
            </w:pPr>
            <w:r w:rsidRPr="009E7105">
              <w:rPr>
                <w:rFonts w:asciiTheme="minorHAnsi" w:eastAsia="Times New Roman" w:hAnsiTheme="minorHAnsi" w:cs="Times New Roman"/>
                <w:b/>
                <w:color w:val="auto"/>
                <w:sz w:val="19"/>
                <w:szCs w:val="19"/>
              </w:rPr>
              <w:t>Digital Credentialing Currency Framework Initiative</w:t>
            </w:r>
            <w:r w:rsidRPr="009E7105">
              <w:rPr>
                <w:rFonts w:asciiTheme="minorHAnsi" w:eastAsia="Times New Roman" w:hAnsiTheme="minorHAnsi" w:cs="Times New Roman"/>
                <w:color w:val="auto"/>
                <w:sz w:val="19"/>
                <w:szCs w:val="19"/>
              </w:rPr>
              <w:t>:</w:t>
            </w:r>
            <w:r w:rsidRPr="009E7105">
              <w:rPr>
                <w:rFonts w:asciiTheme="minorHAnsi" w:eastAsia="Arial" w:hAnsiTheme="minorHAnsi" w:cs="Arial"/>
                <w:color w:val="auto"/>
                <w:sz w:val="19"/>
                <w:szCs w:val="19"/>
              </w:rPr>
              <w:t xml:space="preserve"> By collectively investigating and pursuing a framework for developing social, academic, and professional currency for digital credentials, IMS seeks to ensure that credentials are developed, used, and valued in consequential ways. The framework aims to help organizations, institutions, and individuals develop, issue, earn, and share digital </w:t>
            </w:r>
            <w:r w:rsidR="00455396" w:rsidRPr="009E7105">
              <w:rPr>
                <w:rFonts w:asciiTheme="minorHAnsi" w:eastAsia="Arial" w:hAnsiTheme="minorHAnsi" w:cs="Arial"/>
                <w:color w:val="auto"/>
                <w:sz w:val="19"/>
                <w:szCs w:val="19"/>
              </w:rPr>
              <w:t xml:space="preserve">credentials </w:t>
            </w:r>
            <w:r w:rsidR="00455396">
              <w:rPr>
                <w:rFonts w:asciiTheme="minorHAnsi" w:eastAsia="Arial" w:hAnsiTheme="minorHAnsi" w:cs="Arial"/>
                <w:color w:val="auto"/>
                <w:sz w:val="19"/>
                <w:szCs w:val="19"/>
              </w:rPr>
              <w:t>in</w:t>
            </w:r>
            <w:r>
              <w:rPr>
                <w:rFonts w:asciiTheme="minorHAnsi" w:eastAsia="Arial" w:hAnsiTheme="minorHAnsi" w:cs="Arial"/>
                <w:color w:val="auto"/>
                <w:sz w:val="19"/>
                <w:szCs w:val="19"/>
              </w:rPr>
              <w:t xml:space="preserve"> </w:t>
            </w:r>
            <w:r w:rsidRPr="009E7105">
              <w:rPr>
                <w:rFonts w:asciiTheme="minorHAnsi" w:eastAsia="Arial" w:hAnsiTheme="minorHAnsi" w:cs="Arial"/>
                <w:color w:val="auto"/>
                <w:sz w:val="19"/>
                <w:szCs w:val="19"/>
              </w:rPr>
              <w:t>ways that are readily understandable, easy to reproduce, and that carry value</w:t>
            </w:r>
            <w:r>
              <w:rPr>
                <w:rFonts w:asciiTheme="minorHAnsi" w:eastAsia="Arial" w:hAnsiTheme="minorHAnsi" w:cs="Arial"/>
                <w:color w:val="auto"/>
                <w:sz w:val="19"/>
                <w:szCs w:val="19"/>
              </w:rPr>
              <w:t xml:space="preserve"> for all stakeholders</w:t>
            </w:r>
            <w:r w:rsidRPr="009E7105">
              <w:rPr>
                <w:rFonts w:asciiTheme="minorHAnsi" w:eastAsia="Arial" w:hAnsiTheme="minorHAnsi" w:cs="Arial"/>
                <w:color w:val="auto"/>
                <w:sz w:val="19"/>
                <w:szCs w:val="19"/>
              </w:rPr>
              <w:t xml:space="preserve"> in a variety of environments, including academia and industry. </w:t>
            </w:r>
          </w:p>
        </w:tc>
        <w:tc>
          <w:tcPr>
            <w:tcW w:w="2250" w:type="dxa"/>
          </w:tcPr>
          <w:p w14:paraId="253670E2" w14:textId="69F50C1D" w:rsidR="00FF2113" w:rsidRPr="009E7105" w:rsidRDefault="00FF2113" w:rsidP="0099185D">
            <w:pPr>
              <w:jc w:val="center"/>
              <w:rPr>
                <w:rFonts w:asciiTheme="minorHAnsi" w:hAnsiTheme="minorHAnsi" w:cs="Times New Roman"/>
                <w:sz w:val="19"/>
                <w:szCs w:val="19"/>
              </w:rPr>
            </w:pPr>
            <w:r w:rsidRPr="009E7105">
              <w:rPr>
                <w:rFonts w:asciiTheme="minorHAnsi" w:hAnsiTheme="minorHAnsi" w:cs="Times New Roman"/>
                <w:sz w:val="19"/>
                <w:szCs w:val="19"/>
              </w:rPr>
              <w:t>IMS Global Members</w:t>
            </w:r>
          </w:p>
        </w:tc>
      </w:tr>
      <w:tr w:rsidR="00FF2113" w14:paraId="545E79F6" w14:textId="77777777" w:rsidTr="00210234">
        <w:trPr>
          <w:trHeight w:val="449"/>
        </w:trPr>
        <w:tc>
          <w:tcPr>
            <w:tcW w:w="1710" w:type="dxa"/>
            <w:vMerge/>
            <w:shd w:val="clear" w:color="auto" w:fill="EAF1DD" w:themeFill="accent3" w:themeFillTint="33"/>
          </w:tcPr>
          <w:p w14:paraId="2346DEA6" w14:textId="77777777" w:rsidR="00FF2113" w:rsidRPr="00A007DE" w:rsidRDefault="00FF2113">
            <w:pPr>
              <w:rPr>
                <w:rFonts w:ascii="Times New Roman" w:eastAsia="Times New Roman" w:hAnsi="Times New Roman" w:cs="Times New Roman"/>
                <w:sz w:val="20"/>
                <w:szCs w:val="20"/>
              </w:rPr>
            </w:pPr>
          </w:p>
        </w:tc>
        <w:tc>
          <w:tcPr>
            <w:tcW w:w="540" w:type="dxa"/>
          </w:tcPr>
          <w:p w14:paraId="70D83ECC" w14:textId="77777777" w:rsidR="00FF2113" w:rsidRPr="009E7105" w:rsidRDefault="00FF2113" w:rsidP="005E223B">
            <w:pPr>
              <w:pStyle w:val="ListParagraph"/>
              <w:numPr>
                <w:ilvl w:val="0"/>
                <w:numId w:val="37"/>
              </w:numPr>
              <w:ind w:left="288"/>
              <w:rPr>
                <w:rFonts w:ascii="Times New Roman" w:eastAsia="Times New Roman" w:hAnsi="Times New Roman" w:cs="Times New Roman"/>
                <w:sz w:val="19"/>
                <w:szCs w:val="19"/>
              </w:rPr>
            </w:pPr>
          </w:p>
        </w:tc>
        <w:tc>
          <w:tcPr>
            <w:tcW w:w="9810" w:type="dxa"/>
          </w:tcPr>
          <w:p w14:paraId="32EE16AA" w14:textId="60E26640" w:rsidR="00FF2113" w:rsidRPr="009E7105" w:rsidRDefault="00FF2113" w:rsidP="005E78FA">
            <w:pPr>
              <w:rPr>
                <w:rFonts w:asciiTheme="minorHAnsi" w:eastAsia="Times New Roman" w:hAnsiTheme="minorHAnsi" w:cs="Times New Roman"/>
                <w:b/>
                <w:color w:val="auto"/>
                <w:sz w:val="19"/>
                <w:szCs w:val="19"/>
              </w:rPr>
            </w:pPr>
            <w:r w:rsidRPr="009E7105">
              <w:rPr>
                <w:rFonts w:asciiTheme="minorHAnsi" w:eastAsia="Times New Roman" w:hAnsiTheme="minorHAnsi" w:cs="Times New Roman"/>
                <w:color w:val="auto"/>
                <w:sz w:val="19"/>
                <w:szCs w:val="19"/>
              </w:rPr>
              <w:t>The</w:t>
            </w:r>
            <w:r w:rsidRPr="009E7105">
              <w:rPr>
                <w:rFonts w:asciiTheme="minorHAnsi" w:eastAsia="Times New Roman" w:hAnsiTheme="minorHAnsi" w:cs="Times New Roman"/>
                <w:b/>
                <w:color w:val="auto"/>
                <w:sz w:val="19"/>
                <w:szCs w:val="19"/>
              </w:rPr>
              <w:t xml:space="preserve"> Get Skills to Work initiative </w:t>
            </w:r>
            <w:r w:rsidRPr="009E7105">
              <w:rPr>
                <w:rFonts w:asciiTheme="minorHAnsi" w:eastAsia="Times New Roman" w:hAnsiTheme="minorHAnsi" w:cs="Times New Roman"/>
                <w:color w:val="auto"/>
                <w:sz w:val="19"/>
                <w:szCs w:val="19"/>
              </w:rPr>
              <w:t xml:space="preserve">matches military veterans with jobs in advanced manufacturing through a virtual Military Manufacturing Badge, which pulls up the veteran’s Military Occupational Specialty code (MOS) and information on civilian manufacturing skills the veteran demonstrated in the military; and accelerated training customized to manufacturing careers. </w:t>
            </w:r>
            <w:hyperlink r:id="rId23" w:history="1">
              <w:r w:rsidRPr="009E7105">
                <w:rPr>
                  <w:rStyle w:val="Hyperlink"/>
                  <w:rFonts w:asciiTheme="minorHAnsi" w:eastAsia="Times New Roman" w:hAnsiTheme="minorHAnsi" w:cs="Times New Roman"/>
                  <w:color w:val="auto"/>
                  <w:sz w:val="19"/>
                  <w:szCs w:val="19"/>
                </w:rPr>
                <w:t>www.getskillstowork.org</w:t>
              </w:r>
            </w:hyperlink>
            <w:r w:rsidRPr="009E7105">
              <w:rPr>
                <w:rFonts w:asciiTheme="minorHAnsi" w:eastAsia="Times New Roman" w:hAnsiTheme="minorHAnsi" w:cs="Times New Roman"/>
                <w:b/>
                <w:color w:val="auto"/>
                <w:sz w:val="19"/>
                <w:szCs w:val="19"/>
              </w:rPr>
              <w:t xml:space="preserve"> </w:t>
            </w:r>
          </w:p>
        </w:tc>
        <w:tc>
          <w:tcPr>
            <w:tcW w:w="2250" w:type="dxa"/>
          </w:tcPr>
          <w:p w14:paraId="72E849A7" w14:textId="3908A3BC" w:rsidR="00FF2113" w:rsidRPr="009E7105" w:rsidRDefault="00FF2113" w:rsidP="007C6CE9">
            <w:pPr>
              <w:jc w:val="center"/>
              <w:rPr>
                <w:rFonts w:asciiTheme="minorHAnsi" w:hAnsiTheme="minorHAnsi" w:cs="Times New Roman"/>
                <w:sz w:val="19"/>
                <w:szCs w:val="19"/>
              </w:rPr>
            </w:pPr>
            <w:r w:rsidRPr="009E7105">
              <w:rPr>
                <w:rFonts w:asciiTheme="minorHAnsi" w:hAnsiTheme="minorHAnsi" w:cs="Times New Roman"/>
                <w:sz w:val="19"/>
                <w:szCs w:val="19"/>
              </w:rPr>
              <w:t>Manufacturing Institute, GE, Boeing, Lockheed Martin, Alcoa, other partners</w:t>
            </w:r>
          </w:p>
        </w:tc>
      </w:tr>
      <w:tr w:rsidR="00FF2113" w14:paraId="611B2645" w14:textId="77777777" w:rsidTr="00210234">
        <w:tc>
          <w:tcPr>
            <w:tcW w:w="1710" w:type="dxa"/>
            <w:vMerge/>
            <w:shd w:val="clear" w:color="auto" w:fill="EAF1DD" w:themeFill="accent3" w:themeFillTint="33"/>
          </w:tcPr>
          <w:p w14:paraId="5E175BE6" w14:textId="77777777" w:rsidR="00FF2113" w:rsidRPr="00A007DE" w:rsidRDefault="00FF2113">
            <w:pPr>
              <w:rPr>
                <w:sz w:val="20"/>
                <w:szCs w:val="20"/>
              </w:rPr>
            </w:pPr>
          </w:p>
        </w:tc>
        <w:tc>
          <w:tcPr>
            <w:tcW w:w="540" w:type="dxa"/>
          </w:tcPr>
          <w:p w14:paraId="412D620B" w14:textId="20F9FB1A" w:rsidR="00FF2113" w:rsidRPr="009E7105" w:rsidRDefault="00FF2113" w:rsidP="005E223B">
            <w:pPr>
              <w:pStyle w:val="ListParagraph"/>
              <w:numPr>
                <w:ilvl w:val="0"/>
                <w:numId w:val="37"/>
              </w:numPr>
              <w:ind w:left="288"/>
              <w:rPr>
                <w:rFonts w:ascii="Times New Roman" w:eastAsia="Times New Roman" w:hAnsi="Times New Roman" w:cs="Times New Roman"/>
                <w:sz w:val="19"/>
                <w:szCs w:val="19"/>
              </w:rPr>
            </w:pPr>
          </w:p>
        </w:tc>
        <w:tc>
          <w:tcPr>
            <w:tcW w:w="9810" w:type="dxa"/>
          </w:tcPr>
          <w:p w14:paraId="6107E6C4" w14:textId="726C0FCA" w:rsidR="00FF2113" w:rsidRPr="009E7105" w:rsidRDefault="008555A9" w:rsidP="00B464B5">
            <w:pPr>
              <w:rPr>
                <w:rFonts w:asciiTheme="minorHAnsi" w:hAnsiTheme="minorHAnsi"/>
                <w:color w:val="auto"/>
                <w:sz w:val="19"/>
                <w:szCs w:val="19"/>
              </w:rPr>
            </w:pPr>
            <w:hyperlink r:id="rId24">
              <w:r w:rsidR="00FF2113" w:rsidRPr="009E7105">
                <w:rPr>
                  <w:rFonts w:asciiTheme="minorHAnsi" w:eastAsia="Times New Roman" w:hAnsiTheme="minorHAnsi" w:cs="Times New Roman"/>
                  <w:b/>
                  <w:color w:val="auto"/>
                  <w:sz w:val="19"/>
                  <w:szCs w:val="19"/>
                </w:rPr>
                <w:t xml:space="preserve"> </w:t>
              </w:r>
            </w:hyperlink>
            <w:hyperlink r:id="rId25">
              <w:r w:rsidR="00FF2113" w:rsidRPr="009E7105">
                <w:rPr>
                  <w:rFonts w:asciiTheme="minorHAnsi" w:eastAsia="Times New Roman" w:hAnsiTheme="minorHAnsi" w:cs="Times New Roman"/>
                  <w:b/>
                  <w:color w:val="auto"/>
                  <w:sz w:val="19"/>
                  <w:szCs w:val="19"/>
                  <w:u w:val="single"/>
                </w:rPr>
                <w:t>21</w:t>
              </w:r>
            </w:hyperlink>
            <w:hyperlink r:id="rId26">
              <w:r w:rsidR="00FF2113" w:rsidRPr="009E7105">
                <w:rPr>
                  <w:rFonts w:asciiTheme="minorHAnsi" w:eastAsia="Times New Roman" w:hAnsiTheme="minorHAnsi" w:cs="Times New Roman"/>
                  <w:b/>
                  <w:color w:val="auto"/>
                  <w:sz w:val="19"/>
                  <w:szCs w:val="19"/>
                  <w:u w:val="single"/>
                  <w:vertAlign w:val="superscript"/>
                </w:rPr>
                <w:t>st</w:t>
              </w:r>
            </w:hyperlink>
            <w:hyperlink r:id="rId27">
              <w:r w:rsidR="00FF2113" w:rsidRPr="009E7105">
                <w:rPr>
                  <w:rFonts w:asciiTheme="minorHAnsi" w:eastAsia="Times New Roman" w:hAnsiTheme="minorHAnsi" w:cs="Times New Roman"/>
                  <w:b/>
                  <w:color w:val="auto"/>
                  <w:sz w:val="19"/>
                  <w:szCs w:val="19"/>
                  <w:u w:val="single"/>
                </w:rPr>
                <w:t xml:space="preserve"> Century Skills Badging Challenge</w:t>
              </w:r>
            </w:hyperlink>
            <w:r w:rsidR="00FF2113" w:rsidRPr="009E7105">
              <w:rPr>
                <w:rFonts w:asciiTheme="minorHAnsi" w:eastAsia="Times New Roman" w:hAnsiTheme="minorHAnsi" w:cs="Times New Roman"/>
                <w:b/>
                <w:color w:val="auto"/>
                <w:sz w:val="19"/>
                <w:szCs w:val="19"/>
              </w:rPr>
              <w:t xml:space="preserve"> </w:t>
            </w:r>
            <w:r w:rsidR="00FF2113" w:rsidRPr="009E7105">
              <w:rPr>
                <w:rFonts w:asciiTheme="minorHAnsi" w:eastAsia="Times New Roman" w:hAnsiTheme="minorHAnsi" w:cs="Times New Roman"/>
                <w:color w:val="auto"/>
                <w:sz w:val="19"/>
                <w:szCs w:val="19"/>
              </w:rPr>
              <w:t>is using</w:t>
            </w:r>
            <w:r w:rsidR="00FF2113" w:rsidRPr="009E7105">
              <w:rPr>
                <w:rFonts w:asciiTheme="minorHAnsi" w:eastAsia="Times New Roman" w:hAnsiTheme="minorHAnsi" w:cs="Times New Roman"/>
                <w:b/>
                <w:color w:val="auto"/>
                <w:sz w:val="19"/>
                <w:szCs w:val="19"/>
              </w:rPr>
              <w:t xml:space="preserve"> </w:t>
            </w:r>
            <w:r w:rsidR="00FF2113" w:rsidRPr="009E7105">
              <w:rPr>
                <w:rFonts w:asciiTheme="minorHAnsi" w:eastAsia="Times New Roman" w:hAnsiTheme="minorHAnsi" w:cs="Times New Roman"/>
                <w:color w:val="auto"/>
                <w:sz w:val="19"/>
                <w:szCs w:val="19"/>
              </w:rPr>
              <w:t>design thinking methodologies to lead individual universities through multi-phase learning process that will conclude with prototypes of scalable, replicable and transparent methods to create rigorous, competency-based badges that demonstrate students’ 21</w:t>
            </w:r>
            <w:r w:rsidR="00FF2113" w:rsidRPr="009E7105">
              <w:rPr>
                <w:rFonts w:asciiTheme="minorHAnsi" w:eastAsia="Times New Roman" w:hAnsiTheme="minorHAnsi" w:cs="Times New Roman"/>
                <w:color w:val="auto"/>
                <w:sz w:val="19"/>
                <w:szCs w:val="19"/>
                <w:vertAlign w:val="superscript"/>
              </w:rPr>
              <w:t>st</w:t>
            </w:r>
            <w:r w:rsidR="00FF2113" w:rsidRPr="009E7105">
              <w:rPr>
                <w:rFonts w:asciiTheme="minorHAnsi" w:eastAsia="Times New Roman" w:hAnsiTheme="minorHAnsi" w:cs="Times New Roman"/>
                <w:color w:val="auto"/>
                <w:sz w:val="19"/>
                <w:szCs w:val="19"/>
              </w:rPr>
              <w:t xml:space="preserve"> century skills.  During the 2015-16 academic year “in-market” tests of</w:t>
            </w:r>
            <w:r w:rsidR="00FF2113">
              <w:rPr>
                <w:rFonts w:asciiTheme="minorHAnsi" w:eastAsia="Times New Roman" w:hAnsiTheme="minorHAnsi" w:cs="Times New Roman"/>
                <w:color w:val="auto"/>
                <w:sz w:val="19"/>
                <w:szCs w:val="19"/>
              </w:rPr>
              <w:t xml:space="preserve"> a</w:t>
            </w:r>
            <w:r w:rsidR="00FF2113" w:rsidRPr="009E7105">
              <w:rPr>
                <w:rFonts w:asciiTheme="minorHAnsi" w:eastAsia="Times New Roman" w:hAnsiTheme="minorHAnsi" w:cs="Times New Roman"/>
                <w:color w:val="auto"/>
                <w:sz w:val="19"/>
                <w:szCs w:val="19"/>
              </w:rPr>
              <w:t xml:space="preserve"> suite of badges will be conducted with students and employers and ways to scale beyond the current pilot universities will be determined.</w:t>
            </w:r>
          </w:p>
        </w:tc>
        <w:tc>
          <w:tcPr>
            <w:tcW w:w="2250" w:type="dxa"/>
          </w:tcPr>
          <w:p w14:paraId="072CEA0A" w14:textId="5F8444B4" w:rsidR="00FF2113" w:rsidRPr="009E7105" w:rsidRDefault="00FF2113" w:rsidP="0099185D">
            <w:pPr>
              <w:jc w:val="center"/>
              <w:rPr>
                <w:sz w:val="19"/>
                <w:szCs w:val="19"/>
              </w:rPr>
            </w:pPr>
            <w:r w:rsidRPr="009E7105">
              <w:rPr>
                <w:rFonts w:asciiTheme="minorHAnsi" w:hAnsiTheme="minorHAnsi" w:cs="Times New Roman"/>
                <w:sz w:val="19"/>
                <w:szCs w:val="19"/>
              </w:rPr>
              <w:t>Education Design Lab</w:t>
            </w:r>
          </w:p>
        </w:tc>
      </w:tr>
      <w:tr w:rsidR="00FF2113" w14:paraId="0B025B80" w14:textId="77777777" w:rsidTr="00210234">
        <w:trPr>
          <w:trHeight w:val="359"/>
        </w:trPr>
        <w:tc>
          <w:tcPr>
            <w:tcW w:w="14310" w:type="dxa"/>
            <w:gridSpan w:val="4"/>
            <w:shd w:val="clear" w:color="auto" w:fill="FFFFCC"/>
          </w:tcPr>
          <w:p w14:paraId="42339688" w14:textId="77777777" w:rsidR="007D21CF" w:rsidRDefault="007D21CF" w:rsidP="00145C74">
            <w:pPr>
              <w:spacing w:after="80"/>
              <w:jc w:val="center"/>
              <w:rPr>
                <w:b/>
                <w:sz w:val="24"/>
                <w:szCs w:val="24"/>
              </w:rPr>
            </w:pPr>
          </w:p>
          <w:p w14:paraId="6E7B69DD" w14:textId="77777777" w:rsidR="00FF2113" w:rsidRDefault="00FF2113" w:rsidP="00145C74">
            <w:pPr>
              <w:spacing w:after="80"/>
              <w:jc w:val="center"/>
              <w:rPr>
                <w:b/>
                <w:sz w:val="24"/>
                <w:szCs w:val="24"/>
              </w:rPr>
            </w:pPr>
            <w:r w:rsidRPr="00145C74">
              <w:rPr>
                <w:b/>
                <w:sz w:val="24"/>
                <w:szCs w:val="24"/>
              </w:rPr>
              <w:t>Create nimble end-to-end quality assurance processes to support portability and trust of credentials</w:t>
            </w:r>
          </w:p>
          <w:p w14:paraId="4D085AEF" w14:textId="4C26036F" w:rsidR="00FF2113" w:rsidRPr="008F46B6" w:rsidRDefault="00FF2113" w:rsidP="00983EED">
            <w:pPr>
              <w:pStyle w:val="ListParagraph"/>
              <w:numPr>
                <w:ilvl w:val="0"/>
                <w:numId w:val="44"/>
              </w:numPr>
              <w:spacing w:after="80"/>
              <w:jc w:val="both"/>
              <w:rPr>
                <w:sz w:val="24"/>
                <w:szCs w:val="24"/>
              </w:rPr>
            </w:pPr>
            <w:r w:rsidRPr="008F46B6">
              <w:rPr>
                <w:sz w:val="24"/>
                <w:szCs w:val="24"/>
              </w:rPr>
              <w:t>Ensure valid assessment of authentic learning and competencies</w:t>
            </w:r>
          </w:p>
          <w:p w14:paraId="5495547F" w14:textId="695EA0A6" w:rsidR="00FF2113" w:rsidRPr="008F46B6" w:rsidRDefault="00FF2113" w:rsidP="00983EED">
            <w:pPr>
              <w:pStyle w:val="ListParagraph"/>
              <w:numPr>
                <w:ilvl w:val="0"/>
                <w:numId w:val="44"/>
              </w:numPr>
              <w:spacing w:after="80"/>
              <w:jc w:val="both"/>
              <w:rPr>
                <w:sz w:val="24"/>
                <w:szCs w:val="24"/>
              </w:rPr>
            </w:pPr>
            <w:r w:rsidRPr="008F46B6">
              <w:rPr>
                <w:sz w:val="24"/>
                <w:szCs w:val="24"/>
              </w:rPr>
              <w:t>Adapt quality assurance mechanisms for competency-based education</w:t>
            </w:r>
          </w:p>
          <w:p w14:paraId="7FD76586" w14:textId="6E45ECA6" w:rsidR="00FF2113" w:rsidRPr="008F46B6" w:rsidRDefault="00FF2113" w:rsidP="00983EED">
            <w:pPr>
              <w:pStyle w:val="ListParagraph"/>
              <w:numPr>
                <w:ilvl w:val="0"/>
                <w:numId w:val="44"/>
              </w:numPr>
              <w:spacing w:after="80"/>
              <w:jc w:val="both"/>
              <w:rPr>
                <w:sz w:val="24"/>
                <w:szCs w:val="24"/>
              </w:rPr>
            </w:pPr>
            <w:r w:rsidRPr="008F46B6">
              <w:rPr>
                <w:sz w:val="24"/>
                <w:szCs w:val="24"/>
              </w:rPr>
              <w:t>Promote innovation in assessment and accreditation</w:t>
            </w:r>
          </w:p>
          <w:p w14:paraId="06411D01" w14:textId="0B948F2C" w:rsidR="00FF2113" w:rsidRPr="008F46B6" w:rsidRDefault="00FF2113" w:rsidP="00983EED">
            <w:pPr>
              <w:pStyle w:val="ListParagraph"/>
              <w:numPr>
                <w:ilvl w:val="0"/>
                <w:numId w:val="44"/>
              </w:numPr>
              <w:spacing w:after="80"/>
              <w:jc w:val="both"/>
              <w:rPr>
                <w:b/>
                <w:sz w:val="24"/>
                <w:szCs w:val="24"/>
              </w:rPr>
            </w:pPr>
            <w:r w:rsidRPr="008F46B6">
              <w:rPr>
                <w:sz w:val="24"/>
                <w:szCs w:val="24"/>
              </w:rPr>
              <w:t>Promote licensing reforms to increase mobility/portability</w:t>
            </w:r>
          </w:p>
        </w:tc>
      </w:tr>
      <w:tr w:rsidR="00FF2113" w14:paraId="2698C4CB" w14:textId="77777777" w:rsidTr="00210234">
        <w:trPr>
          <w:trHeight w:val="220"/>
        </w:trPr>
        <w:tc>
          <w:tcPr>
            <w:tcW w:w="1710" w:type="dxa"/>
            <w:vMerge w:val="restart"/>
            <w:shd w:val="clear" w:color="auto" w:fill="FFFFCC"/>
          </w:tcPr>
          <w:p w14:paraId="22FD4DDB" w14:textId="77777777" w:rsidR="00FF2113" w:rsidRPr="00A007DE" w:rsidRDefault="00FF2113" w:rsidP="000F70E5">
            <w:pPr>
              <w:rPr>
                <w:rFonts w:asciiTheme="minorHAnsi" w:eastAsia="Times New Roman" w:hAnsiTheme="minorHAnsi" w:cs="Times New Roman"/>
                <w:sz w:val="20"/>
                <w:szCs w:val="20"/>
              </w:rPr>
            </w:pPr>
          </w:p>
          <w:p w14:paraId="6AA0890C" w14:textId="77777777" w:rsidR="00FF2113" w:rsidRPr="00A007DE" w:rsidRDefault="00FF2113" w:rsidP="000F70E5">
            <w:pPr>
              <w:rPr>
                <w:rFonts w:asciiTheme="minorHAnsi" w:eastAsia="Times New Roman" w:hAnsiTheme="minorHAnsi" w:cs="Times New Roman"/>
                <w:sz w:val="20"/>
                <w:szCs w:val="20"/>
              </w:rPr>
            </w:pPr>
          </w:p>
          <w:p w14:paraId="1045BAF2" w14:textId="77777777" w:rsidR="00FF2113" w:rsidRPr="00A007DE" w:rsidRDefault="00FF2113" w:rsidP="000F70E5">
            <w:pPr>
              <w:rPr>
                <w:rFonts w:asciiTheme="minorHAnsi" w:hAnsiTheme="minorHAnsi"/>
                <w:sz w:val="20"/>
                <w:szCs w:val="20"/>
              </w:rPr>
            </w:pPr>
            <w:r w:rsidRPr="00A007DE">
              <w:rPr>
                <w:rFonts w:asciiTheme="minorHAnsi" w:eastAsia="Times New Roman" w:hAnsiTheme="minorHAnsi" w:cs="Times New Roman"/>
                <w:sz w:val="20"/>
                <w:szCs w:val="20"/>
              </w:rPr>
              <w:t>Adapt quality assurance in education to accommodate competency-based education</w:t>
            </w:r>
          </w:p>
          <w:p w14:paraId="220410D8" w14:textId="77777777" w:rsidR="00FF2113" w:rsidRPr="00A007DE" w:rsidRDefault="00FF2113" w:rsidP="005615E4">
            <w:pPr>
              <w:rPr>
                <w:rFonts w:asciiTheme="minorHAnsi" w:hAnsiTheme="minorHAnsi"/>
                <w:sz w:val="20"/>
                <w:szCs w:val="20"/>
              </w:rPr>
            </w:pPr>
          </w:p>
        </w:tc>
        <w:tc>
          <w:tcPr>
            <w:tcW w:w="540" w:type="dxa"/>
          </w:tcPr>
          <w:p w14:paraId="1106F966" w14:textId="77777777" w:rsidR="00FF2113" w:rsidRPr="009E7105" w:rsidRDefault="00FF2113" w:rsidP="005E223B">
            <w:pPr>
              <w:pStyle w:val="ListParagraph"/>
              <w:numPr>
                <w:ilvl w:val="0"/>
                <w:numId w:val="37"/>
              </w:numPr>
              <w:ind w:left="288"/>
              <w:jc w:val="center"/>
              <w:rPr>
                <w:rFonts w:ascii="Times New Roman" w:eastAsia="Times New Roman" w:hAnsi="Times New Roman" w:cs="Times New Roman"/>
                <w:sz w:val="19"/>
                <w:szCs w:val="19"/>
              </w:rPr>
            </w:pPr>
          </w:p>
        </w:tc>
        <w:tc>
          <w:tcPr>
            <w:tcW w:w="9810" w:type="dxa"/>
          </w:tcPr>
          <w:p w14:paraId="539A8A1B" w14:textId="5D454FFE" w:rsidR="00FF2113" w:rsidRPr="009E7105" w:rsidRDefault="00FF2113" w:rsidP="00AC2EC0">
            <w:pPr>
              <w:rPr>
                <w:rFonts w:asciiTheme="minorHAnsi" w:eastAsia="Times New Roman" w:hAnsiTheme="minorHAnsi" w:cs="Times New Roman"/>
                <w:b/>
                <w:color w:val="auto"/>
                <w:sz w:val="19"/>
                <w:szCs w:val="19"/>
              </w:rPr>
            </w:pPr>
            <w:r>
              <w:rPr>
                <w:rFonts w:asciiTheme="minorHAnsi" w:eastAsia="Times New Roman" w:hAnsiTheme="minorHAnsi" w:cs="Times New Roman"/>
                <w:color w:val="auto"/>
                <w:sz w:val="19"/>
                <w:szCs w:val="19"/>
              </w:rPr>
              <w:t xml:space="preserve">ACE is </w:t>
            </w:r>
            <w:r w:rsidRPr="009E7105">
              <w:rPr>
                <w:rFonts w:asciiTheme="minorHAnsi" w:eastAsia="Times New Roman" w:hAnsiTheme="minorHAnsi" w:cs="Times New Roman"/>
                <w:color w:val="auto"/>
                <w:sz w:val="19"/>
                <w:szCs w:val="19"/>
              </w:rPr>
              <w:t>engaging employer voice in defining a</w:t>
            </w:r>
            <w:r w:rsidRPr="009E7105">
              <w:rPr>
                <w:rFonts w:asciiTheme="minorHAnsi" w:eastAsia="Times New Roman" w:hAnsiTheme="minorHAnsi" w:cs="Times New Roman"/>
                <w:b/>
                <w:color w:val="auto"/>
                <w:sz w:val="19"/>
                <w:szCs w:val="19"/>
              </w:rPr>
              <w:t xml:space="preserve"> </w:t>
            </w:r>
            <w:r>
              <w:rPr>
                <w:rFonts w:asciiTheme="minorHAnsi" w:eastAsia="Times New Roman" w:hAnsiTheme="minorHAnsi" w:cs="Times New Roman"/>
                <w:b/>
                <w:color w:val="auto"/>
                <w:sz w:val="19"/>
                <w:szCs w:val="19"/>
              </w:rPr>
              <w:t>n</w:t>
            </w:r>
            <w:r w:rsidRPr="009E7105">
              <w:rPr>
                <w:rFonts w:asciiTheme="minorHAnsi" w:eastAsia="Times New Roman" w:hAnsiTheme="minorHAnsi" w:cs="Times New Roman"/>
                <w:b/>
                <w:color w:val="auto"/>
                <w:sz w:val="19"/>
                <w:szCs w:val="19"/>
              </w:rPr>
              <w:t xml:space="preserve">ational quality framework for competency-based education </w:t>
            </w:r>
            <w:r w:rsidRPr="009E7105">
              <w:rPr>
                <w:rFonts w:asciiTheme="minorHAnsi" w:eastAsia="Times New Roman" w:hAnsiTheme="minorHAnsi" w:cs="Times New Roman"/>
                <w:color w:val="auto"/>
                <w:sz w:val="19"/>
                <w:szCs w:val="19"/>
              </w:rPr>
              <w:t xml:space="preserve">for signaling competencies gained through competency-based education. From this process ACE will develop a contextual framework for how academia can relay competency attainment to </w:t>
            </w:r>
            <w:r>
              <w:rPr>
                <w:rFonts w:asciiTheme="minorHAnsi" w:eastAsia="Times New Roman" w:hAnsiTheme="minorHAnsi" w:cs="Times New Roman"/>
                <w:color w:val="auto"/>
                <w:sz w:val="19"/>
                <w:szCs w:val="19"/>
              </w:rPr>
              <w:t xml:space="preserve">employers </w:t>
            </w:r>
            <w:r w:rsidRPr="009E7105">
              <w:rPr>
                <w:rFonts w:asciiTheme="minorHAnsi" w:eastAsia="Times New Roman" w:hAnsiTheme="minorHAnsi" w:cs="Times New Roman"/>
                <w:color w:val="auto"/>
                <w:sz w:val="19"/>
                <w:szCs w:val="19"/>
              </w:rPr>
              <w:t>and what is needed in the assessment of competencies for e</w:t>
            </w:r>
            <w:r>
              <w:rPr>
                <w:rFonts w:asciiTheme="minorHAnsi" w:eastAsia="Times New Roman" w:hAnsiTheme="minorHAnsi" w:cs="Times New Roman"/>
                <w:color w:val="auto"/>
                <w:sz w:val="19"/>
                <w:szCs w:val="19"/>
              </w:rPr>
              <w:t>mploy</w:t>
            </w:r>
            <w:r w:rsidR="00983EED">
              <w:rPr>
                <w:rFonts w:asciiTheme="minorHAnsi" w:eastAsia="Times New Roman" w:hAnsiTheme="minorHAnsi" w:cs="Times New Roman"/>
                <w:color w:val="auto"/>
                <w:sz w:val="19"/>
                <w:szCs w:val="19"/>
              </w:rPr>
              <w:t>e</w:t>
            </w:r>
            <w:r>
              <w:rPr>
                <w:rFonts w:asciiTheme="minorHAnsi" w:eastAsia="Times New Roman" w:hAnsiTheme="minorHAnsi" w:cs="Times New Roman"/>
                <w:color w:val="auto"/>
                <w:sz w:val="19"/>
                <w:szCs w:val="19"/>
              </w:rPr>
              <w:t>rs</w:t>
            </w:r>
            <w:r w:rsidRPr="009E7105">
              <w:rPr>
                <w:rFonts w:asciiTheme="minorHAnsi" w:eastAsia="Times New Roman" w:hAnsiTheme="minorHAnsi" w:cs="Times New Roman"/>
                <w:color w:val="auto"/>
                <w:sz w:val="19"/>
                <w:szCs w:val="19"/>
              </w:rPr>
              <w:t xml:space="preserve"> to consider the evaluation of competencies credible.</w:t>
            </w:r>
          </w:p>
        </w:tc>
        <w:tc>
          <w:tcPr>
            <w:tcW w:w="2250" w:type="dxa"/>
          </w:tcPr>
          <w:p w14:paraId="6AB115A8" w14:textId="13D1CB57" w:rsidR="00FF2113" w:rsidRPr="009E7105" w:rsidRDefault="00FF2113" w:rsidP="00B16A78">
            <w:pPr>
              <w:jc w:val="center"/>
              <w:rPr>
                <w:rFonts w:asciiTheme="minorHAnsi" w:eastAsia="Times New Roman" w:hAnsiTheme="minorHAnsi" w:cs="Times New Roman"/>
                <w:sz w:val="19"/>
                <w:szCs w:val="19"/>
              </w:rPr>
            </w:pPr>
            <w:r w:rsidRPr="009E7105">
              <w:rPr>
                <w:rFonts w:asciiTheme="minorHAnsi" w:eastAsia="Times New Roman" w:hAnsiTheme="minorHAnsi" w:cs="Times New Roman"/>
                <w:sz w:val="19"/>
                <w:szCs w:val="19"/>
              </w:rPr>
              <w:t>American Council on Education, Gates Foundation</w:t>
            </w:r>
          </w:p>
        </w:tc>
      </w:tr>
      <w:tr w:rsidR="00FF2113" w14:paraId="0952C18D" w14:textId="77777777" w:rsidTr="00210234">
        <w:trPr>
          <w:trHeight w:val="220"/>
        </w:trPr>
        <w:tc>
          <w:tcPr>
            <w:tcW w:w="1710" w:type="dxa"/>
            <w:vMerge/>
            <w:shd w:val="clear" w:color="auto" w:fill="FFFFCC"/>
          </w:tcPr>
          <w:p w14:paraId="4053E2E2" w14:textId="77777777" w:rsidR="00FF2113" w:rsidRPr="00A007DE" w:rsidRDefault="00FF2113" w:rsidP="000F70E5">
            <w:pPr>
              <w:rPr>
                <w:rFonts w:asciiTheme="minorHAnsi" w:eastAsia="Times New Roman" w:hAnsiTheme="minorHAnsi" w:cs="Times New Roman"/>
                <w:i/>
                <w:sz w:val="20"/>
                <w:szCs w:val="20"/>
              </w:rPr>
            </w:pPr>
          </w:p>
        </w:tc>
        <w:tc>
          <w:tcPr>
            <w:tcW w:w="540" w:type="dxa"/>
          </w:tcPr>
          <w:p w14:paraId="6D33C7BF" w14:textId="77777777" w:rsidR="00FF2113" w:rsidRPr="009E7105" w:rsidRDefault="00FF2113" w:rsidP="005E223B">
            <w:pPr>
              <w:pStyle w:val="ListParagraph"/>
              <w:numPr>
                <w:ilvl w:val="0"/>
                <w:numId w:val="37"/>
              </w:numPr>
              <w:ind w:left="288"/>
              <w:jc w:val="center"/>
              <w:rPr>
                <w:rFonts w:ascii="Times New Roman" w:eastAsia="Times New Roman" w:hAnsi="Times New Roman" w:cs="Times New Roman"/>
                <w:sz w:val="19"/>
                <w:szCs w:val="19"/>
              </w:rPr>
            </w:pPr>
          </w:p>
        </w:tc>
        <w:tc>
          <w:tcPr>
            <w:tcW w:w="9810" w:type="dxa"/>
          </w:tcPr>
          <w:p w14:paraId="7682EDCF" w14:textId="3C3342B7" w:rsidR="00FF2113" w:rsidRPr="009E7105" w:rsidRDefault="00FF2113" w:rsidP="00926852">
            <w:pPr>
              <w:rPr>
                <w:rFonts w:asciiTheme="minorHAnsi" w:eastAsia="Times New Roman" w:hAnsiTheme="minorHAnsi" w:cs="Times New Roman"/>
                <w:color w:val="auto"/>
                <w:sz w:val="19"/>
                <w:szCs w:val="19"/>
              </w:rPr>
            </w:pPr>
            <w:r w:rsidRPr="009E7105">
              <w:rPr>
                <w:rFonts w:asciiTheme="minorHAnsi" w:eastAsia="Times New Roman" w:hAnsiTheme="minorHAnsi" w:cs="Times New Roman"/>
                <w:color w:val="auto"/>
                <w:sz w:val="19"/>
                <w:szCs w:val="19"/>
              </w:rPr>
              <w:t xml:space="preserve">Convened a national group to </w:t>
            </w:r>
            <w:r w:rsidRPr="009E7105">
              <w:rPr>
                <w:rFonts w:asciiTheme="minorHAnsi" w:eastAsia="Times New Roman" w:hAnsiTheme="minorHAnsi" w:cs="Times New Roman"/>
                <w:b/>
                <w:color w:val="auto"/>
                <w:sz w:val="19"/>
                <w:szCs w:val="19"/>
              </w:rPr>
              <w:t xml:space="preserve">develop a quality framework for stackable credentials </w:t>
            </w:r>
            <w:r w:rsidRPr="009E7105">
              <w:rPr>
                <w:rFonts w:asciiTheme="minorHAnsi" w:eastAsia="Times New Roman" w:hAnsiTheme="minorHAnsi" w:cs="Times New Roman"/>
                <w:color w:val="auto"/>
                <w:sz w:val="19"/>
                <w:szCs w:val="19"/>
              </w:rPr>
              <w:t>which defines key dimensions of quality from four key stakeholder perspectives --consumers, earners, endorsers, issuers.  A White Paper based on this work will be issued in late 2015.</w:t>
            </w:r>
          </w:p>
        </w:tc>
        <w:tc>
          <w:tcPr>
            <w:tcW w:w="2250" w:type="dxa"/>
          </w:tcPr>
          <w:p w14:paraId="17EA0F1E" w14:textId="6DC6595D" w:rsidR="00FF2113" w:rsidRPr="009E7105" w:rsidRDefault="00FF2113" w:rsidP="0099185D">
            <w:pPr>
              <w:jc w:val="center"/>
              <w:rPr>
                <w:rFonts w:asciiTheme="minorHAnsi" w:eastAsia="Times New Roman" w:hAnsiTheme="minorHAnsi" w:cs="Times New Roman"/>
                <w:sz w:val="19"/>
                <w:szCs w:val="19"/>
              </w:rPr>
            </w:pPr>
            <w:r w:rsidRPr="009E7105">
              <w:rPr>
                <w:rFonts w:asciiTheme="minorHAnsi" w:eastAsia="Times New Roman" w:hAnsiTheme="minorHAnsi" w:cs="Times New Roman"/>
                <w:sz w:val="19"/>
                <w:szCs w:val="19"/>
              </w:rPr>
              <w:t>ACE, Gates</w:t>
            </w:r>
          </w:p>
        </w:tc>
      </w:tr>
      <w:tr w:rsidR="00FF2113" w14:paraId="5B6CF382" w14:textId="77777777" w:rsidTr="00210234">
        <w:trPr>
          <w:trHeight w:val="611"/>
        </w:trPr>
        <w:tc>
          <w:tcPr>
            <w:tcW w:w="1710" w:type="dxa"/>
            <w:vMerge/>
            <w:shd w:val="clear" w:color="auto" w:fill="FFFFCC"/>
          </w:tcPr>
          <w:p w14:paraId="1C11747B" w14:textId="77777777" w:rsidR="00FF2113" w:rsidRPr="00A007DE" w:rsidRDefault="00FF2113" w:rsidP="005615E4">
            <w:pPr>
              <w:rPr>
                <w:rFonts w:asciiTheme="minorHAnsi" w:hAnsiTheme="minorHAnsi"/>
                <w:sz w:val="20"/>
                <w:szCs w:val="20"/>
              </w:rPr>
            </w:pPr>
          </w:p>
        </w:tc>
        <w:tc>
          <w:tcPr>
            <w:tcW w:w="540" w:type="dxa"/>
          </w:tcPr>
          <w:p w14:paraId="64AE6421" w14:textId="2A9CE735" w:rsidR="00FF2113" w:rsidRPr="009E7105" w:rsidRDefault="00FF2113" w:rsidP="005E223B">
            <w:pPr>
              <w:pStyle w:val="ListParagraph"/>
              <w:numPr>
                <w:ilvl w:val="0"/>
                <w:numId w:val="37"/>
              </w:numPr>
              <w:ind w:left="288"/>
              <w:jc w:val="center"/>
              <w:rPr>
                <w:rFonts w:ascii="Times New Roman" w:eastAsia="Times New Roman" w:hAnsi="Times New Roman" w:cs="Times New Roman"/>
                <w:sz w:val="19"/>
                <w:szCs w:val="19"/>
              </w:rPr>
            </w:pPr>
          </w:p>
        </w:tc>
        <w:tc>
          <w:tcPr>
            <w:tcW w:w="9810" w:type="dxa"/>
          </w:tcPr>
          <w:p w14:paraId="114430D7" w14:textId="77777777" w:rsidR="00FF2113" w:rsidRPr="009E7105" w:rsidRDefault="00FF2113" w:rsidP="00014F7A">
            <w:pPr>
              <w:rPr>
                <w:rFonts w:asciiTheme="minorHAnsi" w:hAnsiTheme="minorHAnsi"/>
                <w:color w:val="auto"/>
                <w:sz w:val="19"/>
                <w:szCs w:val="19"/>
              </w:rPr>
            </w:pPr>
            <w:r w:rsidRPr="009E7105">
              <w:rPr>
                <w:rFonts w:asciiTheme="minorHAnsi" w:eastAsia="Times New Roman" w:hAnsiTheme="minorHAnsi" w:cs="Times New Roman"/>
                <w:color w:val="auto"/>
                <w:sz w:val="19"/>
                <w:szCs w:val="19"/>
              </w:rPr>
              <w:t xml:space="preserve">Under </w:t>
            </w:r>
            <w:r w:rsidRPr="009E7105">
              <w:rPr>
                <w:rFonts w:asciiTheme="minorHAnsi" w:eastAsia="Times New Roman" w:hAnsiTheme="minorHAnsi" w:cs="Times New Roman"/>
                <w:b/>
                <w:color w:val="auto"/>
                <w:sz w:val="19"/>
                <w:szCs w:val="19"/>
              </w:rPr>
              <w:t>Federal HEA Title IV experimental sites</w:t>
            </w:r>
            <w:r w:rsidRPr="009E7105">
              <w:rPr>
                <w:rFonts w:asciiTheme="minorHAnsi" w:eastAsia="Times New Roman" w:hAnsiTheme="minorHAnsi" w:cs="Times New Roman"/>
                <w:color w:val="auto"/>
                <w:sz w:val="19"/>
                <w:szCs w:val="19"/>
              </w:rPr>
              <w:t xml:space="preserve"> authority, conducting experiments on how to accommodate Prior Learning Assessment, Competency-Based Education and Limited Direct Assessment under federal student financial aid programs: </w:t>
            </w:r>
            <w:hyperlink r:id="rId28">
              <w:r w:rsidRPr="009E7105">
                <w:rPr>
                  <w:rFonts w:asciiTheme="minorHAnsi" w:eastAsia="Times New Roman" w:hAnsiTheme="minorHAnsi" w:cs="Times New Roman"/>
                  <w:color w:val="auto"/>
                  <w:sz w:val="19"/>
                  <w:szCs w:val="19"/>
                  <w:u w:val="single"/>
                </w:rPr>
                <w:t>https://experimentalsites.ed.gov/exp/approved.html</w:t>
              </w:r>
            </w:hyperlink>
          </w:p>
        </w:tc>
        <w:tc>
          <w:tcPr>
            <w:tcW w:w="2250" w:type="dxa"/>
          </w:tcPr>
          <w:p w14:paraId="00125C56" w14:textId="77777777" w:rsidR="00FF2113" w:rsidRPr="009E7105" w:rsidRDefault="00FF2113" w:rsidP="0099185D">
            <w:pPr>
              <w:jc w:val="center"/>
              <w:rPr>
                <w:rFonts w:asciiTheme="minorHAnsi" w:hAnsiTheme="minorHAnsi" w:cs="Times New Roman"/>
                <w:sz w:val="19"/>
                <w:szCs w:val="19"/>
              </w:rPr>
            </w:pPr>
            <w:r w:rsidRPr="009E7105">
              <w:rPr>
                <w:rFonts w:asciiTheme="minorHAnsi" w:hAnsiTheme="minorHAnsi" w:cs="Times New Roman"/>
                <w:sz w:val="19"/>
                <w:szCs w:val="19"/>
              </w:rPr>
              <w:t>U.S. Department of Education</w:t>
            </w:r>
          </w:p>
        </w:tc>
      </w:tr>
      <w:tr w:rsidR="00FF2113" w14:paraId="0F80903F" w14:textId="77777777" w:rsidTr="00210234">
        <w:trPr>
          <w:trHeight w:val="773"/>
        </w:trPr>
        <w:tc>
          <w:tcPr>
            <w:tcW w:w="1710" w:type="dxa"/>
            <w:vMerge/>
            <w:shd w:val="clear" w:color="auto" w:fill="FFFFCC"/>
          </w:tcPr>
          <w:p w14:paraId="7DC698C4" w14:textId="77777777" w:rsidR="00FF2113" w:rsidRPr="00A007DE" w:rsidRDefault="00FF2113" w:rsidP="005615E4">
            <w:pPr>
              <w:rPr>
                <w:rFonts w:asciiTheme="minorHAnsi" w:hAnsiTheme="minorHAnsi"/>
                <w:sz w:val="20"/>
                <w:szCs w:val="20"/>
              </w:rPr>
            </w:pPr>
          </w:p>
        </w:tc>
        <w:tc>
          <w:tcPr>
            <w:tcW w:w="540" w:type="dxa"/>
          </w:tcPr>
          <w:p w14:paraId="46DF9D2D" w14:textId="605EB617" w:rsidR="00FF2113" w:rsidRPr="009E7105" w:rsidRDefault="00FF2113" w:rsidP="005E223B">
            <w:pPr>
              <w:pStyle w:val="ListParagraph"/>
              <w:numPr>
                <w:ilvl w:val="0"/>
                <w:numId w:val="37"/>
              </w:numPr>
              <w:ind w:left="288"/>
              <w:jc w:val="center"/>
              <w:rPr>
                <w:rFonts w:ascii="Times New Roman" w:eastAsia="Times New Roman" w:hAnsi="Times New Roman" w:cs="Times New Roman"/>
                <w:sz w:val="19"/>
                <w:szCs w:val="19"/>
              </w:rPr>
            </w:pPr>
          </w:p>
        </w:tc>
        <w:tc>
          <w:tcPr>
            <w:tcW w:w="9810" w:type="dxa"/>
          </w:tcPr>
          <w:p w14:paraId="0B9D9880" w14:textId="42A3E06B" w:rsidR="00FF2113" w:rsidRPr="009E7105" w:rsidRDefault="00FF2113" w:rsidP="00473353">
            <w:pPr>
              <w:rPr>
                <w:rFonts w:asciiTheme="minorHAnsi" w:eastAsia="Times New Roman" w:hAnsiTheme="minorHAnsi" w:cs="Times New Roman"/>
                <w:color w:val="auto"/>
                <w:sz w:val="19"/>
                <w:szCs w:val="19"/>
              </w:rPr>
            </w:pPr>
            <w:r w:rsidRPr="009E7105">
              <w:rPr>
                <w:rFonts w:asciiTheme="minorHAnsi" w:eastAsia="Times New Roman" w:hAnsiTheme="minorHAnsi" w:cs="Times New Roman"/>
                <w:b/>
                <w:color w:val="auto"/>
                <w:sz w:val="19"/>
                <w:szCs w:val="19"/>
              </w:rPr>
              <w:t>CBE Landscape Project</w:t>
            </w:r>
            <w:r w:rsidRPr="009E7105">
              <w:rPr>
                <w:rFonts w:asciiTheme="minorHAnsi" w:eastAsia="Times New Roman" w:hAnsiTheme="minorHAnsi" w:cs="Times New Roman"/>
                <w:color w:val="auto"/>
                <w:sz w:val="19"/>
                <w:szCs w:val="19"/>
              </w:rPr>
              <w:t xml:space="preserve"> designed </w:t>
            </w:r>
            <w:r w:rsidRPr="009E7105">
              <w:rPr>
                <w:rFonts w:asciiTheme="minorHAnsi" w:eastAsia="Times New Roman" w:hAnsiTheme="minorHAnsi" w:cs="Times New Roman"/>
                <w:i/>
                <w:color w:val="auto"/>
                <w:sz w:val="19"/>
                <w:szCs w:val="19"/>
              </w:rPr>
              <w:t>10 Shared Design Elements and Emerging Practices of Competency-Based Education</w:t>
            </w:r>
            <w:r w:rsidRPr="009E7105">
              <w:rPr>
                <w:rFonts w:asciiTheme="minorHAnsi" w:eastAsia="Times New Roman" w:hAnsiTheme="minorHAnsi" w:cs="Times New Roman"/>
                <w:color w:val="auto"/>
                <w:sz w:val="19"/>
                <w:szCs w:val="19"/>
              </w:rPr>
              <w:t xml:space="preserve">. These design elements are associated with healthy and robust CBE programs in higher education. This project also included a survey of approximately 500 institutions developing or delivering CBE programs, which produced useful information for establishing quality assurances for CBE programs </w:t>
            </w:r>
          </w:p>
        </w:tc>
        <w:tc>
          <w:tcPr>
            <w:tcW w:w="2250" w:type="dxa"/>
          </w:tcPr>
          <w:p w14:paraId="37F00F1D" w14:textId="78602903" w:rsidR="00FF2113" w:rsidRPr="009E7105" w:rsidRDefault="00FF2113" w:rsidP="005E39E1">
            <w:pPr>
              <w:jc w:val="center"/>
              <w:rPr>
                <w:rFonts w:asciiTheme="minorHAnsi" w:hAnsiTheme="minorHAnsi" w:cs="Times New Roman"/>
                <w:sz w:val="19"/>
                <w:szCs w:val="19"/>
              </w:rPr>
            </w:pPr>
            <w:r w:rsidRPr="009E7105">
              <w:rPr>
                <w:rFonts w:asciiTheme="minorHAnsi" w:hAnsiTheme="minorHAnsi" w:cs="Times New Roman"/>
                <w:sz w:val="19"/>
                <w:szCs w:val="19"/>
              </w:rPr>
              <w:t xml:space="preserve">Public Agenda, Forum for Youth Investment – Gates </w:t>
            </w:r>
            <w:r>
              <w:rPr>
                <w:rFonts w:asciiTheme="minorHAnsi" w:hAnsiTheme="minorHAnsi" w:cs="Times New Roman"/>
                <w:sz w:val="19"/>
                <w:szCs w:val="19"/>
              </w:rPr>
              <w:t xml:space="preserve">&amp; </w:t>
            </w:r>
            <w:r w:rsidRPr="009E7105">
              <w:rPr>
                <w:rFonts w:asciiTheme="minorHAnsi" w:hAnsiTheme="minorHAnsi" w:cs="Times New Roman"/>
                <w:sz w:val="19"/>
                <w:szCs w:val="19"/>
              </w:rPr>
              <w:t>Lumina Foundations</w:t>
            </w:r>
          </w:p>
        </w:tc>
      </w:tr>
      <w:tr w:rsidR="00FF2113" w14:paraId="0BC58311" w14:textId="77777777" w:rsidTr="00210234">
        <w:trPr>
          <w:trHeight w:val="520"/>
        </w:trPr>
        <w:tc>
          <w:tcPr>
            <w:tcW w:w="1710" w:type="dxa"/>
            <w:vMerge/>
            <w:shd w:val="clear" w:color="auto" w:fill="FFFFCC"/>
          </w:tcPr>
          <w:p w14:paraId="522A8A04" w14:textId="77777777" w:rsidR="00FF2113" w:rsidRPr="00A007DE" w:rsidRDefault="00FF2113">
            <w:pPr>
              <w:rPr>
                <w:rFonts w:asciiTheme="minorHAnsi" w:hAnsiTheme="minorHAnsi"/>
                <w:sz w:val="20"/>
                <w:szCs w:val="20"/>
              </w:rPr>
            </w:pPr>
          </w:p>
        </w:tc>
        <w:tc>
          <w:tcPr>
            <w:tcW w:w="540" w:type="dxa"/>
          </w:tcPr>
          <w:p w14:paraId="44FDA015" w14:textId="40893DB8" w:rsidR="00FF2113" w:rsidRPr="00E326AF" w:rsidRDefault="00FF2113" w:rsidP="005E223B">
            <w:pPr>
              <w:pStyle w:val="ListParagraph"/>
              <w:numPr>
                <w:ilvl w:val="0"/>
                <w:numId w:val="37"/>
              </w:numPr>
              <w:ind w:left="288"/>
              <w:jc w:val="center"/>
              <w:rPr>
                <w:rFonts w:ascii="Times New Roman" w:eastAsia="Times New Roman" w:hAnsi="Times New Roman" w:cs="Times New Roman"/>
                <w:sz w:val="19"/>
                <w:szCs w:val="19"/>
              </w:rPr>
            </w:pPr>
          </w:p>
        </w:tc>
        <w:tc>
          <w:tcPr>
            <w:tcW w:w="9810" w:type="dxa"/>
          </w:tcPr>
          <w:p w14:paraId="19B7B405" w14:textId="41B175DD" w:rsidR="00FF2113" w:rsidRPr="00E326AF" w:rsidRDefault="00FF2113" w:rsidP="00006B4D">
            <w:pPr>
              <w:rPr>
                <w:rFonts w:asciiTheme="minorHAnsi" w:hAnsiTheme="minorHAnsi"/>
                <w:color w:val="auto"/>
                <w:sz w:val="19"/>
                <w:szCs w:val="19"/>
              </w:rPr>
            </w:pPr>
            <w:r w:rsidRPr="00E326AF">
              <w:rPr>
                <w:rFonts w:asciiTheme="minorHAnsi" w:eastAsia="Times New Roman" w:hAnsiTheme="minorHAnsi" w:cs="Times New Roman"/>
                <w:b/>
                <w:color w:val="auto"/>
                <w:sz w:val="19"/>
                <w:szCs w:val="19"/>
              </w:rPr>
              <w:t>Common Framework for Defining and Approving Competency-Based Education Programs:</w:t>
            </w:r>
            <w:r w:rsidRPr="00E326AF">
              <w:rPr>
                <w:rFonts w:asciiTheme="minorHAnsi" w:eastAsia="Times New Roman" w:hAnsiTheme="minorHAnsi" w:cs="Times New Roman"/>
                <w:color w:val="auto"/>
                <w:sz w:val="19"/>
                <w:szCs w:val="19"/>
              </w:rPr>
              <w:t xml:space="preserve"> </w:t>
            </w:r>
            <w:hyperlink r:id="rId29">
              <w:r w:rsidRPr="00E326AF">
                <w:rPr>
                  <w:rFonts w:asciiTheme="minorHAnsi" w:eastAsia="Times New Roman" w:hAnsiTheme="minorHAnsi" w:cs="Times New Roman"/>
                  <w:color w:val="auto"/>
                  <w:sz w:val="19"/>
                  <w:szCs w:val="19"/>
                  <w:u w:val="single"/>
                </w:rPr>
                <w:t>http://www.wascsenior.org/node/1282</w:t>
              </w:r>
            </w:hyperlink>
          </w:p>
        </w:tc>
        <w:tc>
          <w:tcPr>
            <w:tcW w:w="2250" w:type="dxa"/>
          </w:tcPr>
          <w:p w14:paraId="3781DB44" w14:textId="77777777" w:rsidR="00FF2113" w:rsidRPr="00E326AF" w:rsidRDefault="00FF2113" w:rsidP="0099185D">
            <w:pPr>
              <w:jc w:val="center"/>
              <w:rPr>
                <w:rFonts w:asciiTheme="minorHAnsi" w:hAnsiTheme="minorHAnsi" w:cs="Times New Roman"/>
                <w:sz w:val="19"/>
                <w:szCs w:val="19"/>
              </w:rPr>
            </w:pPr>
            <w:r w:rsidRPr="00E326AF">
              <w:rPr>
                <w:rFonts w:asciiTheme="minorHAnsi" w:hAnsiTheme="minorHAnsi" w:cs="Times New Roman"/>
                <w:sz w:val="19"/>
                <w:szCs w:val="19"/>
              </w:rPr>
              <w:t>Council of Regional Accrediting Commissions</w:t>
            </w:r>
          </w:p>
        </w:tc>
      </w:tr>
      <w:tr w:rsidR="00CA7477" w14:paraId="5170F052" w14:textId="77777777" w:rsidTr="00210234">
        <w:trPr>
          <w:trHeight w:val="520"/>
        </w:trPr>
        <w:tc>
          <w:tcPr>
            <w:tcW w:w="1710" w:type="dxa"/>
            <w:vMerge w:val="restart"/>
            <w:shd w:val="clear" w:color="auto" w:fill="FFFFCC"/>
          </w:tcPr>
          <w:p w14:paraId="7A13C899" w14:textId="77777777" w:rsidR="00CA7477" w:rsidRPr="00A007DE" w:rsidRDefault="00CA7477" w:rsidP="00CA7477">
            <w:pPr>
              <w:rPr>
                <w:rFonts w:asciiTheme="minorHAnsi" w:eastAsia="Times New Roman" w:hAnsiTheme="minorHAnsi" w:cs="Times New Roman"/>
                <w:sz w:val="20"/>
                <w:szCs w:val="20"/>
              </w:rPr>
            </w:pPr>
          </w:p>
          <w:p w14:paraId="64038560" w14:textId="77777777" w:rsidR="00CA7477" w:rsidRPr="00CA7477" w:rsidRDefault="00CA7477" w:rsidP="00CA7477">
            <w:pPr>
              <w:rPr>
                <w:rFonts w:asciiTheme="minorHAnsi" w:hAnsiTheme="minorHAnsi"/>
                <w:sz w:val="20"/>
                <w:szCs w:val="20"/>
              </w:rPr>
            </w:pPr>
            <w:r w:rsidRPr="00CA7477">
              <w:rPr>
                <w:rFonts w:asciiTheme="minorHAnsi" w:eastAsia="Times New Roman" w:hAnsiTheme="minorHAnsi" w:cs="Times New Roman"/>
                <w:sz w:val="20"/>
                <w:szCs w:val="20"/>
              </w:rPr>
              <w:t>Licensing</w:t>
            </w:r>
          </w:p>
          <w:p w14:paraId="76208E03" w14:textId="77777777" w:rsidR="00CA7477" w:rsidRPr="00A007DE" w:rsidRDefault="00CA7477" w:rsidP="00CA7477">
            <w:pPr>
              <w:rPr>
                <w:rFonts w:asciiTheme="minorHAnsi" w:hAnsiTheme="minorHAnsi"/>
                <w:sz w:val="20"/>
                <w:szCs w:val="20"/>
              </w:rPr>
            </w:pPr>
            <w:r w:rsidRPr="00CA7477">
              <w:rPr>
                <w:rFonts w:asciiTheme="minorHAnsi" w:eastAsia="Times New Roman" w:hAnsiTheme="minorHAnsi" w:cs="Times New Roman"/>
                <w:sz w:val="20"/>
                <w:szCs w:val="20"/>
              </w:rPr>
              <w:t>reforms</w:t>
            </w:r>
          </w:p>
          <w:p w14:paraId="59F4F6A2" w14:textId="77777777" w:rsidR="00CA7477" w:rsidRPr="00A007DE" w:rsidRDefault="00CA7477" w:rsidP="00CA7477">
            <w:pPr>
              <w:rPr>
                <w:sz w:val="20"/>
                <w:szCs w:val="20"/>
              </w:rPr>
            </w:pPr>
          </w:p>
          <w:p w14:paraId="25A6941F" w14:textId="77777777" w:rsidR="00CA7477" w:rsidRPr="00A007DE" w:rsidRDefault="00CA7477" w:rsidP="00CA7477">
            <w:pPr>
              <w:rPr>
                <w:sz w:val="20"/>
                <w:szCs w:val="20"/>
              </w:rPr>
            </w:pPr>
          </w:p>
          <w:p w14:paraId="028D38FD" w14:textId="77777777" w:rsidR="00CA7477" w:rsidRPr="00A007DE" w:rsidRDefault="00CA7477" w:rsidP="00CA7477">
            <w:pPr>
              <w:rPr>
                <w:sz w:val="20"/>
                <w:szCs w:val="20"/>
              </w:rPr>
            </w:pPr>
          </w:p>
          <w:p w14:paraId="708D5561" w14:textId="77777777" w:rsidR="00CA7477" w:rsidRPr="00A007DE" w:rsidRDefault="00CA7477">
            <w:pPr>
              <w:rPr>
                <w:rFonts w:asciiTheme="minorHAnsi" w:hAnsiTheme="minorHAnsi"/>
                <w:sz w:val="20"/>
                <w:szCs w:val="20"/>
              </w:rPr>
            </w:pPr>
          </w:p>
        </w:tc>
        <w:tc>
          <w:tcPr>
            <w:tcW w:w="540" w:type="dxa"/>
          </w:tcPr>
          <w:p w14:paraId="791155FB" w14:textId="77777777" w:rsidR="00CA7477" w:rsidRPr="00E326AF" w:rsidRDefault="00CA7477" w:rsidP="005E223B">
            <w:pPr>
              <w:pStyle w:val="ListParagraph"/>
              <w:numPr>
                <w:ilvl w:val="0"/>
                <w:numId w:val="37"/>
              </w:numPr>
              <w:ind w:left="288"/>
              <w:jc w:val="center"/>
              <w:rPr>
                <w:rFonts w:ascii="Times New Roman" w:eastAsia="Times New Roman" w:hAnsi="Times New Roman" w:cs="Times New Roman"/>
                <w:sz w:val="19"/>
                <w:szCs w:val="19"/>
              </w:rPr>
            </w:pPr>
          </w:p>
        </w:tc>
        <w:tc>
          <w:tcPr>
            <w:tcW w:w="9810" w:type="dxa"/>
          </w:tcPr>
          <w:p w14:paraId="291C8608" w14:textId="7ECFFF93" w:rsidR="00CA7477" w:rsidRPr="00E326AF" w:rsidRDefault="00CA7477" w:rsidP="00006B4D">
            <w:pPr>
              <w:rPr>
                <w:rFonts w:asciiTheme="minorHAnsi" w:eastAsia="Times New Roman" w:hAnsiTheme="minorHAnsi" w:cs="Times New Roman"/>
                <w:b/>
                <w:color w:val="auto"/>
                <w:sz w:val="19"/>
                <w:szCs w:val="19"/>
              </w:rPr>
            </w:pPr>
            <w:r w:rsidRPr="00EC2193">
              <w:rPr>
                <w:rFonts w:asciiTheme="minorHAnsi" w:hAnsiTheme="minorHAnsi"/>
                <w:color w:val="auto"/>
                <w:sz w:val="19"/>
                <w:szCs w:val="19"/>
              </w:rPr>
              <w:t>With leadership from the First Lady and Dr. Biden</w:t>
            </w:r>
            <w:r>
              <w:rPr>
                <w:rFonts w:asciiTheme="minorHAnsi" w:hAnsiTheme="minorHAnsi"/>
                <w:color w:val="auto"/>
                <w:sz w:val="19"/>
                <w:szCs w:val="19"/>
              </w:rPr>
              <w:t xml:space="preserve">, </w:t>
            </w:r>
            <w:r w:rsidRPr="00EC2193">
              <w:rPr>
                <w:rFonts w:asciiTheme="minorHAnsi" w:hAnsiTheme="minorHAnsi"/>
                <w:color w:val="auto"/>
                <w:sz w:val="19"/>
                <w:szCs w:val="19"/>
              </w:rPr>
              <w:t xml:space="preserve"> 23 states passed </w:t>
            </w:r>
            <w:r w:rsidRPr="00EC2193">
              <w:rPr>
                <w:rFonts w:asciiTheme="minorHAnsi" w:hAnsiTheme="minorHAnsi"/>
                <w:b/>
                <w:color w:val="auto"/>
                <w:sz w:val="19"/>
                <w:szCs w:val="19"/>
              </w:rPr>
              <w:t>pro-military spouse licensing portability</w:t>
            </w:r>
            <w:r w:rsidRPr="00EC2193">
              <w:rPr>
                <w:rFonts w:asciiTheme="minorHAnsi" w:hAnsiTheme="minorHAnsi"/>
                <w:color w:val="auto"/>
                <w:sz w:val="19"/>
                <w:szCs w:val="19"/>
              </w:rPr>
              <w:t xml:space="preserve"> measures. </w:t>
            </w:r>
            <w:hyperlink r:id="rId30">
              <w:r w:rsidRPr="00EC2193">
                <w:rPr>
                  <w:rFonts w:asciiTheme="minorHAnsi" w:hAnsiTheme="minorHAnsi"/>
                  <w:color w:val="auto"/>
                  <w:sz w:val="19"/>
                  <w:szCs w:val="19"/>
                  <w:u w:val="single"/>
                </w:rPr>
                <w:t>https://www.whitehouse.gov/blog/2012/06/26/23-states-have-now-passed-pro-military-spouse-license-portability-measures</w:t>
              </w:r>
            </w:hyperlink>
          </w:p>
        </w:tc>
        <w:tc>
          <w:tcPr>
            <w:tcW w:w="2250" w:type="dxa"/>
          </w:tcPr>
          <w:p w14:paraId="464EA085" w14:textId="0C8C970E" w:rsidR="00CA7477" w:rsidRPr="00E326AF" w:rsidRDefault="00CA7477" w:rsidP="0099185D">
            <w:pPr>
              <w:jc w:val="center"/>
              <w:rPr>
                <w:rFonts w:asciiTheme="minorHAnsi" w:hAnsiTheme="minorHAnsi" w:cs="Times New Roman"/>
                <w:sz w:val="19"/>
                <w:szCs w:val="19"/>
              </w:rPr>
            </w:pPr>
            <w:r w:rsidRPr="00EC2193">
              <w:rPr>
                <w:rFonts w:asciiTheme="minorHAnsi" w:hAnsiTheme="minorHAnsi"/>
                <w:sz w:val="19"/>
                <w:szCs w:val="19"/>
              </w:rPr>
              <w:t>Federal</w:t>
            </w:r>
          </w:p>
        </w:tc>
      </w:tr>
      <w:tr w:rsidR="00827E63" w14:paraId="5B5790D1" w14:textId="77777777" w:rsidTr="00210234">
        <w:trPr>
          <w:trHeight w:val="520"/>
        </w:trPr>
        <w:tc>
          <w:tcPr>
            <w:tcW w:w="1710" w:type="dxa"/>
            <w:vMerge/>
            <w:shd w:val="clear" w:color="auto" w:fill="FFFFCC"/>
          </w:tcPr>
          <w:p w14:paraId="6EBF8950" w14:textId="77777777" w:rsidR="00827E63" w:rsidRPr="00A007DE" w:rsidRDefault="00827E63" w:rsidP="00CA7477">
            <w:pPr>
              <w:rPr>
                <w:rFonts w:asciiTheme="minorHAnsi" w:eastAsia="Times New Roman" w:hAnsiTheme="minorHAnsi" w:cs="Times New Roman"/>
                <w:sz w:val="20"/>
                <w:szCs w:val="20"/>
              </w:rPr>
            </w:pPr>
          </w:p>
        </w:tc>
        <w:tc>
          <w:tcPr>
            <w:tcW w:w="540" w:type="dxa"/>
          </w:tcPr>
          <w:p w14:paraId="4503C244" w14:textId="77777777" w:rsidR="00827E63" w:rsidRPr="00E326AF" w:rsidRDefault="00827E63" w:rsidP="005E223B">
            <w:pPr>
              <w:pStyle w:val="ListParagraph"/>
              <w:numPr>
                <w:ilvl w:val="0"/>
                <w:numId w:val="37"/>
              </w:numPr>
              <w:ind w:left="288"/>
              <w:jc w:val="center"/>
              <w:rPr>
                <w:rFonts w:ascii="Times New Roman" w:eastAsia="Times New Roman" w:hAnsi="Times New Roman" w:cs="Times New Roman"/>
                <w:sz w:val="19"/>
                <w:szCs w:val="19"/>
              </w:rPr>
            </w:pPr>
          </w:p>
        </w:tc>
        <w:tc>
          <w:tcPr>
            <w:tcW w:w="9810" w:type="dxa"/>
          </w:tcPr>
          <w:p w14:paraId="3C407C73" w14:textId="1E3206A7" w:rsidR="00827E63" w:rsidRPr="00827E63" w:rsidRDefault="00827E63" w:rsidP="00006B4D">
            <w:pPr>
              <w:rPr>
                <w:rFonts w:asciiTheme="minorHAnsi" w:hAnsiTheme="minorHAnsi"/>
                <w:color w:val="auto"/>
                <w:sz w:val="19"/>
                <w:szCs w:val="19"/>
              </w:rPr>
            </w:pPr>
            <w:r w:rsidRPr="00827E63">
              <w:rPr>
                <w:b/>
                <w:sz w:val="19"/>
                <w:szCs w:val="19"/>
              </w:rPr>
              <w:t>Guided Pathways to Success</w:t>
            </w:r>
            <w:r w:rsidRPr="00827E63">
              <w:rPr>
                <w:i/>
                <w:sz w:val="19"/>
                <w:szCs w:val="19"/>
              </w:rPr>
              <w:t xml:space="preserve"> -- </w:t>
            </w:r>
            <w:r w:rsidRPr="00827E63">
              <w:rPr>
                <w:sz w:val="19"/>
                <w:szCs w:val="19"/>
              </w:rPr>
              <w:t xml:space="preserve">Complete College America’s  </w:t>
            </w:r>
            <w:hyperlink r:id="rId31" w:tgtFrame="_blank" w:history="1">
              <w:r w:rsidRPr="00827E63">
                <w:rPr>
                  <w:color w:val="0000FF"/>
                  <w:sz w:val="19"/>
                  <w:szCs w:val="19"/>
                  <w:u w:val="single"/>
                </w:rPr>
                <w:t>GPS (Guided Pathways to Success) Direct Seal of Approval</w:t>
              </w:r>
            </w:hyperlink>
            <w:r w:rsidRPr="00827E63">
              <w:rPr>
                <w:sz w:val="19"/>
                <w:szCs w:val="19"/>
              </w:rPr>
              <w:t xml:space="preserve"> program evaluates ed-tech vendors and their products, awarding the organization’s seal of approval to technology that is shown to help students get through college. The advisory board established to make these awards will judge the companies based on </w:t>
            </w:r>
            <w:r w:rsidRPr="00827E63">
              <w:rPr>
                <w:color w:val="0000FF"/>
                <w:sz w:val="19"/>
                <w:szCs w:val="19"/>
                <w:u w:val="single"/>
              </w:rPr>
              <w:t>best practices</w:t>
            </w:r>
            <w:r w:rsidRPr="00827E63">
              <w:rPr>
                <w:sz w:val="19"/>
                <w:szCs w:val="19"/>
              </w:rPr>
              <w:t xml:space="preserve"> the organization has outlined for its work on degree pathways. The first focus will be on products related to degree mapping, and subsequent awards will recognize companies that address other aspects of guided pathways. Complete College America is supported by the Bill &amp; Melinda Gates Foundation, Lumina Foundation and other groups interested in educational reform. </w:t>
            </w:r>
            <w:hyperlink r:id="rId32" w:history="1">
              <w:r w:rsidRPr="00827E63">
                <w:rPr>
                  <w:rStyle w:val="Hyperlink"/>
                  <w:sz w:val="19"/>
                  <w:szCs w:val="19"/>
                </w:rPr>
                <w:t>http://completecollege.org/gps-seal-of-approval/</w:t>
              </w:r>
            </w:hyperlink>
            <w:r w:rsidRPr="00827E63">
              <w:rPr>
                <w:sz w:val="19"/>
                <w:szCs w:val="19"/>
              </w:rPr>
              <w:t xml:space="preserve"> </w:t>
            </w:r>
          </w:p>
        </w:tc>
        <w:tc>
          <w:tcPr>
            <w:tcW w:w="2250" w:type="dxa"/>
          </w:tcPr>
          <w:p w14:paraId="43034697" w14:textId="77777777" w:rsidR="00827E63" w:rsidRDefault="00827E63" w:rsidP="0099185D">
            <w:pPr>
              <w:jc w:val="center"/>
              <w:rPr>
                <w:rFonts w:asciiTheme="minorHAnsi" w:hAnsiTheme="minorHAnsi"/>
                <w:sz w:val="19"/>
                <w:szCs w:val="19"/>
              </w:rPr>
            </w:pPr>
            <w:r>
              <w:rPr>
                <w:rFonts w:asciiTheme="minorHAnsi" w:hAnsiTheme="minorHAnsi"/>
                <w:sz w:val="19"/>
                <w:szCs w:val="19"/>
              </w:rPr>
              <w:t>Complete College America</w:t>
            </w:r>
          </w:p>
          <w:p w14:paraId="2DD8EFF5" w14:textId="77777777" w:rsidR="00827E63" w:rsidRDefault="00827E63" w:rsidP="0099185D">
            <w:pPr>
              <w:jc w:val="center"/>
              <w:rPr>
                <w:rFonts w:asciiTheme="minorHAnsi" w:hAnsiTheme="minorHAnsi"/>
                <w:sz w:val="19"/>
                <w:szCs w:val="19"/>
              </w:rPr>
            </w:pPr>
            <w:r>
              <w:rPr>
                <w:rFonts w:asciiTheme="minorHAnsi" w:hAnsiTheme="minorHAnsi"/>
                <w:sz w:val="19"/>
                <w:szCs w:val="19"/>
              </w:rPr>
              <w:t>Bill &amp; Melinda Gates Foundation</w:t>
            </w:r>
          </w:p>
          <w:p w14:paraId="10F32823" w14:textId="3839BF10" w:rsidR="00827E63" w:rsidRPr="00EC2193" w:rsidRDefault="00827E63" w:rsidP="0099185D">
            <w:pPr>
              <w:jc w:val="center"/>
              <w:rPr>
                <w:rFonts w:asciiTheme="minorHAnsi" w:hAnsiTheme="minorHAnsi"/>
                <w:sz w:val="19"/>
                <w:szCs w:val="19"/>
              </w:rPr>
            </w:pPr>
            <w:r>
              <w:rPr>
                <w:rFonts w:asciiTheme="minorHAnsi" w:hAnsiTheme="minorHAnsi"/>
                <w:sz w:val="19"/>
                <w:szCs w:val="19"/>
              </w:rPr>
              <w:t>Lumina Foundation</w:t>
            </w:r>
          </w:p>
        </w:tc>
      </w:tr>
      <w:tr w:rsidR="00CA7477" w14:paraId="40658007" w14:textId="77777777" w:rsidTr="00210234">
        <w:trPr>
          <w:trHeight w:val="520"/>
        </w:trPr>
        <w:tc>
          <w:tcPr>
            <w:tcW w:w="1710" w:type="dxa"/>
            <w:vMerge/>
            <w:shd w:val="clear" w:color="auto" w:fill="FFFFCC"/>
          </w:tcPr>
          <w:p w14:paraId="741ABED6" w14:textId="77777777" w:rsidR="00CA7477" w:rsidRPr="00A007DE" w:rsidRDefault="00CA7477">
            <w:pPr>
              <w:rPr>
                <w:rFonts w:asciiTheme="minorHAnsi" w:hAnsiTheme="minorHAnsi"/>
                <w:sz w:val="20"/>
                <w:szCs w:val="20"/>
              </w:rPr>
            </w:pPr>
          </w:p>
        </w:tc>
        <w:tc>
          <w:tcPr>
            <w:tcW w:w="540" w:type="dxa"/>
          </w:tcPr>
          <w:p w14:paraId="411804FD" w14:textId="77777777" w:rsidR="00CA7477" w:rsidRPr="00E326AF" w:rsidRDefault="00CA7477" w:rsidP="005E223B">
            <w:pPr>
              <w:pStyle w:val="ListParagraph"/>
              <w:numPr>
                <w:ilvl w:val="0"/>
                <w:numId w:val="37"/>
              </w:numPr>
              <w:ind w:left="288"/>
              <w:jc w:val="center"/>
              <w:rPr>
                <w:rFonts w:ascii="Times New Roman" w:eastAsia="Times New Roman" w:hAnsi="Times New Roman" w:cs="Times New Roman"/>
                <w:sz w:val="19"/>
                <w:szCs w:val="19"/>
              </w:rPr>
            </w:pPr>
          </w:p>
        </w:tc>
        <w:tc>
          <w:tcPr>
            <w:tcW w:w="9810" w:type="dxa"/>
          </w:tcPr>
          <w:p w14:paraId="5184314E" w14:textId="088BA6AB" w:rsidR="00CA7477" w:rsidRPr="00E326AF" w:rsidRDefault="00CA7477" w:rsidP="00006B4D">
            <w:pPr>
              <w:rPr>
                <w:rFonts w:asciiTheme="minorHAnsi" w:eastAsia="Times New Roman" w:hAnsiTheme="minorHAnsi" w:cs="Times New Roman"/>
                <w:b/>
                <w:color w:val="auto"/>
                <w:sz w:val="19"/>
                <w:szCs w:val="19"/>
              </w:rPr>
            </w:pPr>
            <w:r w:rsidRPr="00EC2193">
              <w:rPr>
                <w:rFonts w:asciiTheme="minorHAnsi" w:eastAsia="Times New Roman" w:hAnsiTheme="minorHAnsi" w:cs="Times New Roman"/>
                <w:b/>
                <w:color w:val="auto"/>
                <w:sz w:val="19"/>
                <w:szCs w:val="19"/>
              </w:rPr>
              <w:t xml:space="preserve">Veterans Licensing and Certification Demonstration Project </w:t>
            </w:r>
            <w:r w:rsidRPr="00EC2193">
              <w:rPr>
                <w:rFonts w:asciiTheme="minorHAnsi" w:eastAsia="Times New Roman" w:hAnsiTheme="minorHAnsi" w:cs="Times New Roman"/>
                <w:color w:val="auto"/>
                <w:sz w:val="19"/>
                <w:szCs w:val="19"/>
              </w:rPr>
              <w:t>involves 6 states who are developing and implementing accelerated pathways to civilian licensure in high-demand occupations for transitioning service members. The project supports cross-sector state teams to work with state licensing boards and community colleges to create pathways that avoid or reduce duplicative training for service members with relevant military training and experience.  Description/interim findings for project found</w:t>
            </w:r>
            <w:hyperlink r:id="rId33">
              <w:r w:rsidRPr="00EC2193">
                <w:rPr>
                  <w:rFonts w:asciiTheme="minorHAnsi" w:eastAsia="Times New Roman" w:hAnsiTheme="minorHAnsi" w:cs="Times New Roman"/>
                  <w:color w:val="auto"/>
                  <w:sz w:val="19"/>
                  <w:szCs w:val="19"/>
                </w:rPr>
                <w:t xml:space="preserve"> </w:t>
              </w:r>
            </w:hyperlink>
            <w:hyperlink r:id="rId34">
              <w:r w:rsidRPr="00EC2193">
                <w:rPr>
                  <w:rFonts w:asciiTheme="minorHAnsi" w:eastAsia="Times New Roman" w:hAnsiTheme="minorHAnsi" w:cs="Times New Roman"/>
                  <w:color w:val="auto"/>
                  <w:sz w:val="19"/>
                  <w:szCs w:val="19"/>
                  <w:u w:val="single"/>
                </w:rPr>
                <w:t>here</w:t>
              </w:r>
            </w:hyperlink>
            <w:r w:rsidRPr="00EC2193">
              <w:rPr>
                <w:rFonts w:asciiTheme="minorHAnsi" w:eastAsia="Times New Roman" w:hAnsiTheme="minorHAnsi" w:cs="Times New Roman"/>
                <w:color w:val="auto"/>
                <w:sz w:val="19"/>
                <w:szCs w:val="19"/>
              </w:rPr>
              <w:t>.</w:t>
            </w:r>
          </w:p>
        </w:tc>
        <w:tc>
          <w:tcPr>
            <w:tcW w:w="2250" w:type="dxa"/>
          </w:tcPr>
          <w:p w14:paraId="57645D8B" w14:textId="70859289" w:rsidR="00CA7477" w:rsidRPr="00E326AF" w:rsidRDefault="00CA7477" w:rsidP="0099185D">
            <w:pPr>
              <w:jc w:val="center"/>
              <w:rPr>
                <w:rFonts w:asciiTheme="minorHAnsi" w:hAnsiTheme="minorHAnsi" w:cs="Times New Roman"/>
                <w:sz w:val="19"/>
                <w:szCs w:val="19"/>
              </w:rPr>
            </w:pPr>
            <w:r w:rsidRPr="00EC2193">
              <w:rPr>
                <w:rFonts w:asciiTheme="minorHAnsi" w:eastAsia="Times New Roman" w:hAnsiTheme="minorHAnsi" w:cs="Times New Roman"/>
                <w:sz w:val="19"/>
                <w:szCs w:val="19"/>
              </w:rPr>
              <w:t>National Governors Association,  US Department of Labor</w:t>
            </w:r>
          </w:p>
        </w:tc>
      </w:tr>
      <w:tr w:rsidR="00CA7477" w14:paraId="654F50D0" w14:textId="77777777" w:rsidTr="00210234">
        <w:trPr>
          <w:trHeight w:val="520"/>
        </w:trPr>
        <w:tc>
          <w:tcPr>
            <w:tcW w:w="1710" w:type="dxa"/>
            <w:vMerge/>
            <w:shd w:val="clear" w:color="auto" w:fill="FFFFCC"/>
          </w:tcPr>
          <w:p w14:paraId="3FB8E8C5" w14:textId="77777777" w:rsidR="00CA7477" w:rsidRPr="00A007DE" w:rsidRDefault="00CA7477">
            <w:pPr>
              <w:rPr>
                <w:rFonts w:asciiTheme="minorHAnsi" w:hAnsiTheme="minorHAnsi"/>
                <w:sz w:val="20"/>
                <w:szCs w:val="20"/>
              </w:rPr>
            </w:pPr>
          </w:p>
        </w:tc>
        <w:tc>
          <w:tcPr>
            <w:tcW w:w="540" w:type="dxa"/>
          </w:tcPr>
          <w:p w14:paraId="33C6A190" w14:textId="77777777" w:rsidR="00CA7477" w:rsidRPr="00E326AF" w:rsidRDefault="00CA7477" w:rsidP="005E223B">
            <w:pPr>
              <w:pStyle w:val="ListParagraph"/>
              <w:numPr>
                <w:ilvl w:val="0"/>
                <w:numId w:val="37"/>
              </w:numPr>
              <w:ind w:left="288"/>
              <w:jc w:val="center"/>
              <w:rPr>
                <w:rFonts w:ascii="Times New Roman" w:eastAsia="Times New Roman" w:hAnsi="Times New Roman" w:cs="Times New Roman"/>
                <w:sz w:val="19"/>
                <w:szCs w:val="19"/>
              </w:rPr>
            </w:pPr>
          </w:p>
        </w:tc>
        <w:tc>
          <w:tcPr>
            <w:tcW w:w="9810" w:type="dxa"/>
          </w:tcPr>
          <w:p w14:paraId="6630DC8A" w14:textId="4F53763F" w:rsidR="00CA7477" w:rsidRPr="00E326AF" w:rsidRDefault="00CA7477" w:rsidP="00006B4D">
            <w:pPr>
              <w:rPr>
                <w:rFonts w:asciiTheme="minorHAnsi" w:eastAsia="Times New Roman" w:hAnsiTheme="minorHAnsi" w:cs="Times New Roman"/>
                <w:b/>
                <w:color w:val="auto"/>
                <w:sz w:val="19"/>
                <w:szCs w:val="19"/>
              </w:rPr>
            </w:pPr>
            <w:r>
              <w:rPr>
                <w:rFonts w:asciiTheme="minorHAnsi" w:hAnsiTheme="minorHAnsi"/>
                <w:color w:val="auto"/>
                <w:sz w:val="19"/>
                <w:szCs w:val="19"/>
              </w:rPr>
              <w:t xml:space="preserve"> GU CEW</w:t>
            </w:r>
            <w:r w:rsidRPr="00EC2193">
              <w:rPr>
                <w:rFonts w:asciiTheme="minorHAnsi" w:hAnsiTheme="minorHAnsi"/>
                <w:color w:val="auto"/>
                <w:sz w:val="19"/>
                <w:szCs w:val="19"/>
              </w:rPr>
              <w:t xml:space="preserve"> is </w:t>
            </w:r>
            <w:r>
              <w:rPr>
                <w:rFonts w:asciiTheme="minorHAnsi" w:hAnsiTheme="minorHAnsi"/>
                <w:color w:val="auto"/>
                <w:sz w:val="19"/>
                <w:szCs w:val="19"/>
              </w:rPr>
              <w:t>conducting</w:t>
            </w:r>
            <w:r w:rsidRPr="00EC2193">
              <w:rPr>
                <w:rFonts w:asciiTheme="minorHAnsi" w:hAnsiTheme="minorHAnsi"/>
                <w:color w:val="auto"/>
                <w:sz w:val="19"/>
                <w:szCs w:val="19"/>
              </w:rPr>
              <w:t xml:space="preserve"> a 50 state review of the connection between occupational licensing and programs of study. In collaboration with (EDEPS) the Economic Development and Employer Planning System database.   </w:t>
            </w:r>
          </w:p>
        </w:tc>
        <w:tc>
          <w:tcPr>
            <w:tcW w:w="2250" w:type="dxa"/>
          </w:tcPr>
          <w:p w14:paraId="7B89820E" w14:textId="4FEC3F0E" w:rsidR="00CA7477" w:rsidRPr="00E326AF" w:rsidRDefault="00CA7477" w:rsidP="0099185D">
            <w:pPr>
              <w:jc w:val="center"/>
              <w:rPr>
                <w:rFonts w:asciiTheme="minorHAnsi" w:hAnsiTheme="minorHAnsi" w:cs="Times New Roman"/>
                <w:sz w:val="19"/>
                <w:szCs w:val="19"/>
              </w:rPr>
            </w:pPr>
            <w:r w:rsidRPr="00EC2193">
              <w:rPr>
                <w:rFonts w:asciiTheme="minorHAnsi" w:hAnsiTheme="minorHAnsi"/>
                <w:color w:val="auto"/>
                <w:sz w:val="19"/>
                <w:szCs w:val="19"/>
              </w:rPr>
              <w:t>Georgetown University Cente</w:t>
            </w:r>
            <w:r>
              <w:rPr>
                <w:rFonts w:asciiTheme="minorHAnsi" w:hAnsiTheme="minorHAnsi"/>
                <w:color w:val="auto"/>
                <w:sz w:val="19"/>
                <w:szCs w:val="19"/>
              </w:rPr>
              <w:t>r on Education and the Workforc,</w:t>
            </w:r>
            <w:r w:rsidRPr="00EC2193">
              <w:rPr>
                <w:rFonts w:asciiTheme="minorHAnsi" w:hAnsiTheme="minorHAnsi"/>
                <w:color w:val="auto"/>
                <w:sz w:val="19"/>
                <w:szCs w:val="19"/>
              </w:rPr>
              <w:t xml:space="preserve"> </w:t>
            </w:r>
            <w:r w:rsidRPr="00EC2193">
              <w:rPr>
                <w:rFonts w:asciiTheme="minorHAnsi" w:eastAsia="Times New Roman" w:hAnsiTheme="minorHAnsi" w:cs="Times New Roman"/>
                <w:sz w:val="19"/>
                <w:szCs w:val="19"/>
              </w:rPr>
              <w:t>Gates, Lumina &amp;  Joyce Foundations</w:t>
            </w:r>
          </w:p>
        </w:tc>
      </w:tr>
      <w:tr w:rsidR="00CA7477" w14:paraId="0A899417" w14:textId="77777777" w:rsidTr="00210234">
        <w:trPr>
          <w:trHeight w:val="520"/>
        </w:trPr>
        <w:tc>
          <w:tcPr>
            <w:tcW w:w="1710" w:type="dxa"/>
            <w:vMerge w:val="restart"/>
            <w:shd w:val="clear" w:color="auto" w:fill="FFFFCC"/>
          </w:tcPr>
          <w:p w14:paraId="07A850F9" w14:textId="77777777" w:rsidR="00CA7477" w:rsidRDefault="00CA7477" w:rsidP="00677E06">
            <w:pPr>
              <w:rPr>
                <w:rFonts w:asciiTheme="minorHAnsi" w:hAnsiTheme="minorHAnsi"/>
                <w:sz w:val="20"/>
                <w:szCs w:val="20"/>
              </w:rPr>
            </w:pPr>
          </w:p>
          <w:p w14:paraId="1C670ADE" w14:textId="0327398E" w:rsidR="00CA7477" w:rsidRPr="00A007DE" w:rsidRDefault="00CA7477" w:rsidP="00677E06">
            <w:pPr>
              <w:rPr>
                <w:rFonts w:asciiTheme="minorHAnsi" w:hAnsiTheme="minorHAnsi"/>
                <w:sz w:val="20"/>
                <w:szCs w:val="20"/>
              </w:rPr>
            </w:pPr>
            <w:r w:rsidRPr="00A007DE">
              <w:rPr>
                <w:rFonts w:asciiTheme="minorHAnsi" w:hAnsiTheme="minorHAnsi"/>
                <w:sz w:val="20"/>
                <w:szCs w:val="20"/>
              </w:rPr>
              <w:t xml:space="preserve">Accreditation innovation </w:t>
            </w:r>
          </w:p>
        </w:tc>
        <w:tc>
          <w:tcPr>
            <w:tcW w:w="540" w:type="dxa"/>
          </w:tcPr>
          <w:p w14:paraId="38189661" w14:textId="77777777" w:rsidR="00CA7477" w:rsidRPr="00E326AF" w:rsidRDefault="00CA7477" w:rsidP="005E223B">
            <w:pPr>
              <w:pStyle w:val="ListParagraph"/>
              <w:numPr>
                <w:ilvl w:val="0"/>
                <w:numId w:val="37"/>
              </w:numPr>
              <w:ind w:left="288"/>
              <w:jc w:val="center"/>
              <w:rPr>
                <w:rFonts w:ascii="Times New Roman" w:eastAsia="Times New Roman" w:hAnsi="Times New Roman" w:cs="Times New Roman"/>
                <w:sz w:val="19"/>
                <w:szCs w:val="19"/>
              </w:rPr>
            </w:pPr>
          </w:p>
        </w:tc>
        <w:tc>
          <w:tcPr>
            <w:tcW w:w="9810" w:type="dxa"/>
          </w:tcPr>
          <w:p w14:paraId="224DD5C4" w14:textId="3591C7E5" w:rsidR="00CA7477" w:rsidRPr="00E326AF" w:rsidRDefault="00CA7477" w:rsidP="009249D1">
            <w:pPr>
              <w:rPr>
                <w:rFonts w:asciiTheme="minorHAnsi" w:eastAsia="Times New Roman" w:hAnsiTheme="minorHAnsi" w:cs="Times New Roman"/>
                <w:color w:val="auto"/>
                <w:sz w:val="19"/>
                <w:szCs w:val="19"/>
              </w:rPr>
            </w:pPr>
            <w:r w:rsidRPr="00E326AF">
              <w:rPr>
                <w:rFonts w:asciiTheme="minorHAnsi" w:eastAsia="Times New Roman" w:hAnsiTheme="minorHAnsi" w:cs="Times New Roman"/>
                <w:color w:val="auto"/>
                <w:sz w:val="19"/>
                <w:szCs w:val="19"/>
              </w:rPr>
              <w:t xml:space="preserve">Accredits clean energy training providers and certifies instructors and master trainers nationally.  IREC is currently piloting two new stackable micro-credentials that would be renewed and upgraded over time using a streamlined validation process to lower costs, and provide value in the marketplace.  </w:t>
            </w:r>
            <w:hyperlink r:id="rId35" w:history="1">
              <w:r w:rsidRPr="00E326AF">
                <w:rPr>
                  <w:rStyle w:val="Hyperlink"/>
                  <w:rFonts w:asciiTheme="minorHAnsi" w:eastAsia="Times New Roman" w:hAnsiTheme="minorHAnsi" w:cs="Times New Roman"/>
                  <w:color w:val="auto"/>
                  <w:sz w:val="19"/>
                  <w:szCs w:val="19"/>
                </w:rPr>
                <w:t>www.irecusa.org</w:t>
              </w:r>
            </w:hyperlink>
            <w:r w:rsidRPr="00E326AF">
              <w:rPr>
                <w:rFonts w:asciiTheme="minorHAnsi" w:eastAsia="Times New Roman" w:hAnsiTheme="minorHAnsi" w:cs="Times New Roman"/>
                <w:color w:val="auto"/>
                <w:sz w:val="19"/>
                <w:szCs w:val="19"/>
              </w:rPr>
              <w:t xml:space="preserve">     </w:t>
            </w:r>
          </w:p>
        </w:tc>
        <w:tc>
          <w:tcPr>
            <w:tcW w:w="2250" w:type="dxa"/>
          </w:tcPr>
          <w:p w14:paraId="1F0E8178" w14:textId="05CF8D0D" w:rsidR="00CA7477" w:rsidRPr="00E326AF" w:rsidRDefault="00CA7477" w:rsidP="0074503B">
            <w:pPr>
              <w:jc w:val="center"/>
              <w:rPr>
                <w:rFonts w:asciiTheme="minorHAnsi" w:hAnsiTheme="minorHAnsi" w:cs="Times New Roman"/>
                <w:sz w:val="19"/>
                <w:szCs w:val="19"/>
              </w:rPr>
            </w:pPr>
            <w:r w:rsidRPr="00E326AF">
              <w:rPr>
                <w:rFonts w:asciiTheme="minorHAnsi" w:hAnsiTheme="minorHAnsi" w:cs="Times New Roman"/>
                <w:sz w:val="19"/>
                <w:szCs w:val="19"/>
              </w:rPr>
              <w:t xml:space="preserve">Interstate Renewable Energy Council </w:t>
            </w:r>
          </w:p>
        </w:tc>
      </w:tr>
      <w:tr w:rsidR="00CA7477" w14:paraId="7E09210F" w14:textId="77777777" w:rsidTr="00210234">
        <w:trPr>
          <w:trHeight w:val="520"/>
        </w:trPr>
        <w:tc>
          <w:tcPr>
            <w:tcW w:w="1710" w:type="dxa"/>
            <w:vMerge/>
            <w:shd w:val="clear" w:color="auto" w:fill="FFFFCC"/>
          </w:tcPr>
          <w:p w14:paraId="4F6D5FBD" w14:textId="77777777" w:rsidR="00CA7477" w:rsidRPr="00A007DE" w:rsidRDefault="00CA7477">
            <w:pPr>
              <w:rPr>
                <w:rFonts w:asciiTheme="minorHAnsi" w:hAnsiTheme="minorHAnsi"/>
                <w:sz w:val="20"/>
                <w:szCs w:val="20"/>
              </w:rPr>
            </w:pPr>
          </w:p>
        </w:tc>
        <w:tc>
          <w:tcPr>
            <w:tcW w:w="540" w:type="dxa"/>
          </w:tcPr>
          <w:p w14:paraId="31FEC42E" w14:textId="77777777" w:rsidR="00CA7477" w:rsidRPr="00E326AF" w:rsidRDefault="00CA7477" w:rsidP="005E223B">
            <w:pPr>
              <w:pStyle w:val="ListParagraph"/>
              <w:numPr>
                <w:ilvl w:val="0"/>
                <w:numId w:val="37"/>
              </w:numPr>
              <w:ind w:left="288"/>
              <w:jc w:val="center"/>
              <w:rPr>
                <w:rFonts w:ascii="Times New Roman" w:eastAsia="Times New Roman" w:hAnsi="Times New Roman" w:cs="Times New Roman"/>
                <w:sz w:val="19"/>
                <w:szCs w:val="19"/>
              </w:rPr>
            </w:pPr>
          </w:p>
        </w:tc>
        <w:tc>
          <w:tcPr>
            <w:tcW w:w="9810" w:type="dxa"/>
          </w:tcPr>
          <w:p w14:paraId="15B8EF7B" w14:textId="592910E1" w:rsidR="00CA7477" w:rsidRPr="00E326AF" w:rsidRDefault="00CA7477" w:rsidP="009249D1">
            <w:pPr>
              <w:rPr>
                <w:rFonts w:asciiTheme="minorHAnsi" w:eastAsia="Times New Roman" w:hAnsiTheme="minorHAnsi" w:cs="Times New Roman"/>
                <w:color w:val="auto"/>
                <w:sz w:val="19"/>
                <w:szCs w:val="19"/>
              </w:rPr>
            </w:pPr>
            <w:r w:rsidRPr="00E326AF">
              <w:rPr>
                <w:rFonts w:asciiTheme="minorHAnsi" w:eastAsia="Times New Roman" w:hAnsiTheme="minorHAnsi" w:cs="Times New Roman"/>
                <w:color w:val="auto"/>
                <w:sz w:val="19"/>
                <w:szCs w:val="19"/>
              </w:rPr>
              <w:t xml:space="preserve">The first exclusively online university to receive </w:t>
            </w:r>
            <w:r w:rsidRPr="00E326AF">
              <w:rPr>
                <w:rFonts w:asciiTheme="minorHAnsi" w:eastAsia="Times New Roman" w:hAnsiTheme="minorHAnsi" w:cs="Times New Roman"/>
                <w:b/>
                <w:color w:val="auto"/>
                <w:sz w:val="19"/>
                <w:szCs w:val="19"/>
              </w:rPr>
              <w:t>accreditation for its competency-based degree programs that lead to teacher licensure</w:t>
            </w:r>
            <w:r w:rsidRPr="00E326AF">
              <w:rPr>
                <w:rFonts w:asciiTheme="minorHAnsi" w:eastAsia="Times New Roman" w:hAnsiTheme="minorHAnsi" w:cs="Times New Roman"/>
                <w:color w:val="auto"/>
                <w:sz w:val="19"/>
                <w:szCs w:val="19"/>
              </w:rPr>
              <w:t xml:space="preserve"> from the National Council for the Accreditation of Teacher Education (NCATE). </w:t>
            </w:r>
            <w:hyperlink r:id="rId36" w:history="1">
              <w:r w:rsidRPr="00E326AF">
                <w:rPr>
                  <w:rStyle w:val="Hyperlink"/>
                  <w:rFonts w:asciiTheme="minorHAnsi" w:eastAsia="Times New Roman" w:hAnsiTheme="minorHAnsi" w:cs="Times New Roman"/>
                  <w:color w:val="auto"/>
                  <w:sz w:val="19"/>
                  <w:szCs w:val="19"/>
                </w:rPr>
                <w:t>http://www.wgu.edu/about_WGU/accreditation</w:t>
              </w:r>
            </w:hyperlink>
            <w:r w:rsidRPr="00E326AF">
              <w:rPr>
                <w:rFonts w:asciiTheme="minorHAnsi" w:eastAsia="Times New Roman" w:hAnsiTheme="minorHAnsi" w:cs="Times New Roman"/>
                <w:color w:val="auto"/>
                <w:sz w:val="19"/>
                <w:szCs w:val="19"/>
              </w:rPr>
              <w:t xml:space="preserve">   </w:t>
            </w:r>
          </w:p>
        </w:tc>
        <w:tc>
          <w:tcPr>
            <w:tcW w:w="2250" w:type="dxa"/>
          </w:tcPr>
          <w:p w14:paraId="72C80232" w14:textId="11CCC2C0" w:rsidR="00CA7477" w:rsidRPr="00E326AF" w:rsidRDefault="00CA7477" w:rsidP="0099185D">
            <w:pPr>
              <w:jc w:val="center"/>
              <w:rPr>
                <w:rFonts w:asciiTheme="minorHAnsi" w:hAnsiTheme="minorHAnsi" w:cs="Times New Roman"/>
                <w:sz w:val="19"/>
                <w:szCs w:val="19"/>
              </w:rPr>
            </w:pPr>
            <w:r w:rsidRPr="00E326AF">
              <w:rPr>
                <w:rFonts w:asciiTheme="minorHAnsi" w:hAnsiTheme="minorHAnsi" w:cs="Times New Roman"/>
                <w:sz w:val="19"/>
                <w:szCs w:val="19"/>
              </w:rPr>
              <w:t>Western Governors University</w:t>
            </w:r>
            <w:r>
              <w:rPr>
                <w:rFonts w:asciiTheme="minorHAnsi" w:hAnsiTheme="minorHAnsi" w:cs="Times New Roman"/>
                <w:sz w:val="19"/>
                <w:szCs w:val="19"/>
              </w:rPr>
              <w:t xml:space="preserve">’s </w:t>
            </w:r>
            <w:r w:rsidRPr="00E326AF">
              <w:rPr>
                <w:rFonts w:asciiTheme="minorHAnsi" w:hAnsiTheme="minorHAnsi" w:cs="Times New Roman"/>
                <w:sz w:val="19"/>
                <w:szCs w:val="19"/>
              </w:rPr>
              <w:t>Teachers College</w:t>
            </w:r>
          </w:p>
        </w:tc>
      </w:tr>
      <w:tr w:rsidR="00CA7477" w14:paraId="33DE0878" w14:textId="77777777" w:rsidTr="00210234">
        <w:tc>
          <w:tcPr>
            <w:tcW w:w="14310" w:type="dxa"/>
            <w:gridSpan w:val="4"/>
            <w:shd w:val="clear" w:color="auto" w:fill="F2DBDB" w:themeFill="accent2" w:themeFillTint="33"/>
          </w:tcPr>
          <w:p w14:paraId="4E51A844" w14:textId="77777777" w:rsidR="00CA7477" w:rsidRDefault="00CA7477" w:rsidP="007D21CF">
            <w:pPr>
              <w:spacing w:after="80"/>
              <w:jc w:val="center"/>
              <w:rPr>
                <w:b/>
                <w:sz w:val="24"/>
                <w:szCs w:val="24"/>
              </w:rPr>
            </w:pPr>
            <w:r w:rsidRPr="00145C74">
              <w:rPr>
                <w:b/>
                <w:sz w:val="24"/>
                <w:szCs w:val="24"/>
              </w:rPr>
              <w:t>Create scalable employer engagement approaches to improve demand signals and increase relevancy and currency of credentials</w:t>
            </w:r>
          </w:p>
          <w:p w14:paraId="17ECEA67" w14:textId="77777777" w:rsidR="00CA7477" w:rsidRPr="007D21CF" w:rsidRDefault="00CA7477" w:rsidP="007D21CF">
            <w:pPr>
              <w:spacing w:after="80"/>
              <w:rPr>
                <w:sz w:val="24"/>
                <w:szCs w:val="24"/>
              </w:rPr>
            </w:pPr>
            <w:r w:rsidRPr="007D21CF">
              <w:rPr>
                <w:sz w:val="24"/>
                <w:szCs w:val="24"/>
              </w:rPr>
              <w:t>•</w:t>
            </w:r>
            <w:r w:rsidRPr="007D21CF">
              <w:rPr>
                <w:sz w:val="24"/>
                <w:szCs w:val="24"/>
              </w:rPr>
              <w:tab/>
              <w:t>Improve demand signals to increase the relevance of credentials in a rapidly changing marketplace</w:t>
            </w:r>
            <w:r w:rsidRPr="007D21CF">
              <w:rPr>
                <w:sz w:val="24"/>
                <w:szCs w:val="24"/>
              </w:rPr>
              <w:tab/>
            </w:r>
          </w:p>
          <w:p w14:paraId="76E92F88" w14:textId="77777777" w:rsidR="00CA7477" w:rsidRPr="007D21CF" w:rsidRDefault="00CA7477" w:rsidP="007D21CF">
            <w:pPr>
              <w:spacing w:after="80"/>
              <w:rPr>
                <w:sz w:val="24"/>
                <w:szCs w:val="24"/>
              </w:rPr>
            </w:pPr>
            <w:r w:rsidRPr="007D21CF">
              <w:rPr>
                <w:sz w:val="24"/>
                <w:szCs w:val="24"/>
              </w:rPr>
              <w:t>•</w:t>
            </w:r>
            <w:r w:rsidRPr="007D21CF">
              <w:rPr>
                <w:sz w:val="24"/>
                <w:szCs w:val="24"/>
              </w:rPr>
              <w:tab/>
              <w:t>Support collaboratives that are by business, for business and that manage the talent pipeline as a shared activity across employers</w:t>
            </w:r>
          </w:p>
          <w:p w14:paraId="6AD1647F" w14:textId="77777777" w:rsidR="00CA7477" w:rsidRPr="007D21CF" w:rsidRDefault="00CA7477" w:rsidP="007D21CF">
            <w:pPr>
              <w:spacing w:after="80"/>
              <w:rPr>
                <w:sz w:val="24"/>
                <w:szCs w:val="24"/>
              </w:rPr>
            </w:pPr>
            <w:r w:rsidRPr="007D21CF">
              <w:rPr>
                <w:sz w:val="24"/>
                <w:szCs w:val="24"/>
              </w:rPr>
              <w:t>•</w:t>
            </w:r>
            <w:r w:rsidRPr="007D21CF">
              <w:rPr>
                <w:sz w:val="24"/>
                <w:szCs w:val="24"/>
              </w:rPr>
              <w:tab/>
              <w:t>Enhance employer talent acquisition and advancement by improving how they communicate their skill needs and requirements</w:t>
            </w:r>
          </w:p>
          <w:p w14:paraId="3600024C" w14:textId="7E095225" w:rsidR="00CA7477" w:rsidRPr="007D21CF" w:rsidRDefault="00CA7477" w:rsidP="007D21CF">
            <w:pPr>
              <w:spacing w:after="80"/>
              <w:rPr>
                <w:sz w:val="24"/>
                <w:szCs w:val="24"/>
              </w:rPr>
            </w:pPr>
            <w:r w:rsidRPr="007D21CF">
              <w:rPr>
                <w:sz w:val="24"/>
                <w:szCs w:val="24"/>
              </w:rPr>
              <w:t>•</w:t>
            </w:r>
            <w:r w:rsidRPr="007D21CF">
              <w:rPr>
                <w:sz w:val="24"/>
                <w:szCs w:val="24"/>
              </w:rPr>
              <w:tab/>
              <w:t>Promote accelerated work-based education and training by strengthening performance-driven partnerships</w:t>
            </w:r>
          </w:p>
          <w:p w14:paraId="5CB8AD52" w14:textId="62A7A718" w:rsidR="00CA7477" w:rsidRPr="00A007DE" w:rsidRDefault="00CA7477" w:rsidP="00145C74">
            <w:pPr>
              <w:pStyle w:val="Heading1"/>
              <w:spacing w:before="240"/>
              <w:ind w:left="288"/>
              <w:jc w:val="center"/>
              <w:outlineLvl w:val="0"/>
              <w:rPr>
                <w:rFonts w:asciiTheme="minorHAnsi" w:hAnsiTheme="minorHAnsi"/>
                <w:color w:val="auto"/>
                <w:sz w:val="20"/>
                <w:szCs w:val="20"/>
              </w:rPr>
            </w:pPr>
          </w:p>
        </w:tc>
      </w:tr>
      <w:tr w:rsidR="00CA7477" w14:paraId="7C2B5A98" w14:textId="77777777" w:rsidTr="00210234">
        <w:trPr>
          <w:trHeight w:val="809"/>
        </w:trPr>
        <w:tc>
          <w:tcPr>
            <w:tcW w:w="1710" w:type="dxa"/>
            <w:vMerge w:val="restart"/>
            <w:tcBorders>
              <w:right w:val="single" w:sz="8" w:space="0" w:color="000000"/>
            </w:tcBorders>
            <w:shd w:val="clear" w:color="auto" w:fill="F2DBDB" w:themeFill="accent2" w:themeFillTint="33"/>
          </w:tcPr>
          <w:p w14:paraId="00223A77" w14:textId="77777777" w:rsidR="00CA7477" w:rsidRPr="00A007DE" w:rsidRDefault="00CA7477">
            <w:pPr>
              <w:rPr>
                <w:rFonts w:asciiTheme="minorHAnsi" w:eastAsia="Times New Roman" w:hAnsiTheme="minorHAnsi" w:cs="Times New Roman"/>
                <w:sz w:val="20"/>
                <w:szCs w:val="20"/>
              </w:rPr>
            </w:pPr>
          </w:p>
          <w:p w14:paraId="4CA42E75" w14:textId="77777777" w:rsidR="00CA7477" w:rsidRPr="00A007DE" w:rsidRDefault="00CA7477">
            <w:pPr>
              <w:rPr>
                <w:rFonts w:asciiTheme="minorHAnsi" w:eastAsia="Times New Roman" w:hAnsiTheme="minorHAnsi" w:cs="Times New Roman"/>
                <w:sz w:val="20"/>
                <w:szCs w:val="20"/>
              </w:rPr>
            </w:pPr>
          </w:p>
          <w:p w14:paraId="51970E4D" w14:textId="77777777" w:rsidR="00CA7477" w:rsidRPr="00A007DE" w:rsidRDefault="00CA7477">
            <w:pPr>
              <w:rPr>
                <w:rFonts w:asciiTheme="minorHAnsi" w:eastAsia="Times New Roman" w:hAnsiTheme="minorHAnsi" w:cs="Times New Roman"/>
                <w:sz w:val="20"/>
                <w:szCs w:val="20"/>
              </w:rPr>
            </w:pPr>
          </w:p>
          <w:p w14:paraId="2B0C8AF9" w14:textId="77777777" w:rsidR="00CA7477" w:rsidRPr="00A007DE" w:rsidRDefault="00CA7477">
            <w:pPr>
              <w:rPr>
                <w:rFonts w:asciiTheme="minorHAnsi" w:eastAsia="Times New Roman" w:hAnsiTheme="minorHAnsi" w:cs="Times New Roman"/>
                <w:sz w:val="20"/>
                <w:szCs w:val="20"/>
              </w:rPr>
            </w:pPr>
          </w:p>
          <w:p w14:paraId="1B3C349F" w14:textId="77777777" w:rsidR="00CA7477" w:rsidRPr="00A007DE" w:rsidRDefault="00CA7477">
            <w:pPr>
              <w:rPr>
                <w:rFonts w:asciiTheme="minorHAnsi" w:eastAsia="Times New Roman" w:hAnsiTheme="minorHAnsi" w:cs="Times New Roman"/>
                <w:sz w:val="20"/>
                <w:szCs w:val="20"/>
              </w:rPr>
            </w:pPr>
          </w:p>
          <w:p w14:paraId="500E9A55" w14:textId="6B43BB8B" w:rsidR="00CA7477" w:rsidRPr="00A007DE" w:rsidRDefault="00CA7477">
            <w:pPr>
              <w:rPr>
                <w:rFonts w:asciiTheme="minorHAnsi" w:hAnsiTheme="minorHAnsi"/>
                <w:sz w:val="20"/>
                <w:szCs w:val="20"/>
              </w:rPr>
            </w:pPr>
            <w:r w:rsidRPr="00A007DE">
              <w:rPr>
                <w:rFonts w:asciiTheme="minorHAnsi" w:eastAsia="Times New Roman" w:hAnsiTheme="minorHAnsi" w:cs="Times New Roman"/>
                <w:sz w:val="20"/>
                <w:szCs w:val="20"/>
              </w:rPr>
              <w:t xml:space="preserve">Better demand signals to increase relevance of credentials  to changing labor market </w:t>
            </w:r>
            <w:r w:rsidRPr="00A007DE">
              <w:rPr>
                <w:rFonts w:asciiTheme="minorHAnsi" w:eastAsia="Times New Roman" w:hAnsiTheme="minorHAnsi" w:cs="Times New Roman"/>
                <w:sz w:val="20"/>
                <w:szCs w:val="20"/>
              </w:rPr>
              <w:tab/>
            </w:r>
          </w:p>
          <w:p w14:paraId="5B4385A5" w14:textId="77777777" w:rsidR="00CA7477" w:rsidRPr="00A007DE" w:rsidRDefault="00CA7477">
            <w:pPr>
              <w:rPr>
                <w:rFonts w:asciiTheme="minorHAnsi" w:hAnsiTheme="minorHAnsi"/>
                <w:sz w:val="20"/>
                <w:szCs w:val="20"/>
              </w:rPr>
            </w:pPr>
          </w:p>
          <w:p w14:paraId="486AF1D1" w14:textId="77777777" w:rsidR="00CA7477" w:rsidRPr="00A007DE" w:rsidRDefault="00CA7477" w:rsidP="00D74B46">
            <w:pPr>
              <w:rPr>
                <w:rFonts w:asciiTheme="minorHAnsi" w:hAnsiTheme="minorHAnsi"/>
                <w:sz w:val="20"/>
                <w:szCs w:val="20"/>
              </w:rPr>
            </w:pPr>
          </w:p>
        </w:tc>
        <w:tc>
          <w:tcPr>
            <w:tcW w:w="540" w:type="dxa"/>
          </w:tcPr>
          <w:p w14:paraId="49CBC7D3" w14:textId="68F3DCD5" w:rsidR="00CA7477" w:rsidRPr="00DB3D14" w:rsidRDefault="00CA7477" w:rsidP="005E223B">
            <w:pPr>
              <w:pStyle w:val="ListParagraph"/>
              <w:numPr>
                <w:ilvl w:val="0"/>
                <w:numId w:val="37"/>
              </w:numPr>
              <w:ind w:left="288"/>
              <w:jc w:val="center"/>
              <w:rPr>
                <w:rFonts w:asciiTheme="minorHAnsi" w:eastAsia="Times New Roman" w:hAnsiTheme="minorHAnsi" w:cs="Times New Roman"/>
                <w:b/>
                <w:sz w:val="19"/>
                <w:szCs w:val="19"/>
              </w:rPr>
            </w:pPr>
          </w:p>
        </w:tc>
        <w:tc>
          <w:tcPr>
            <w:tcW w:w="9810" w:type="dxa"/>
          </w:tcPr>
          <w:p w14:paraId="7FF7F02E" w14:textId="7E388987" w:rsidR="00CA7477" w:rsidRPr="00EC38FE" w:rsidRDefault="00EC38FE" w:rsidP="00F25522">
            <w:pPr>
              <w:rPr>
                <w:rFonts w:asciiTheme="minorHAnsi" w:hAnsiTheme="minorHAnsi"/>
                <w:color w:val="auto"/>
                <w:sz w:val="19"/>
                <w:szCs w:val="19"/>
              </w:rPr>
            </w:pPr>
            <w:r w:rsidRPr="00EC38FE">
              <w:rPr>
                <w:rFonts w:cs="Arial"/>
                <w:color w:val="000000" w:themeColor="text1"/>
                <w:sz w:val="19"/>
                <w:szCs w:val="19"/>
                <w:shd w:val="clear" w:color="auto" w:fill="FFFFFF"/>
              </w:rPr>
              <w:t>Convened by ACT Foundation and Business Roundtable and supported by the Joyce Foundation, ACT Foundation, Lumina Foundation and Walmart, the </w:t>
            </w:r>
            <w:hyperlink r:id="rId37" w:tgtFrame="_blank" w:history="1">
              <w:r w:rsidRPr="00EC38FE">
                <w:rPr>
                  <w:rFonts w:cs="Arial"/>
                  <w:bCs/>
                  <w:color w:val="000000" w:themeColor="text1"/>
                  <w:sz w:val="19"/>
                  <w:szCs w:val="19"/>
                  <w:u w:val="single"/>
                  <w:bdr w:val="none" w:sz="0" w:space="0" w:color="auto" w:frame="1"/>
                  <w:shd w:val="clear" w:color="auto" w:fill="FFFFFF"/>
                </w:rPr>
                <w:t>National Network of Business and Industry</w:t>
              </w:r>
              <w:r w:rsidRPr="00EC38FE">
                <w:rPr>
                  <w:rFonts w:cs="Arial"/>
                  <w:color w:val="000000" w:themeColor="text1"/>
                  <w:sz w:val="19"/>
                  <w:szCs w:val="19"/>
                  <w:bdr w:val="none" w:sz="0" w:space="0" w:color="auto" w:frame="1"/>
                  <w:shd w:val="clear" w:color="auto" w:fill="FFFFFF"/>
                </w:rPr>
                <w:t> </w:t>
              </w:r>
              <w:r w:rsidRPr="00EC38FE">
                <w:rPr>
                  <w:rFonts w:cs="Arial"/>
                  <w:bCs/>
                  <w:color w:val="000000" w:themeColor="text1"/>
                  <w:sz w:val="19"/>
                  <w:szCs w:val="19"/>
                  <w:u w:val="single"/>
                  <w:bdr w:val="none" w:sz="0" w:space="0" w:color="auto" w:frame="1"/>
                  <w:shd w:val="clear" w:color="auto" w:fill="FFFFFF"/>
                </w:rPr>
                <w:t>Associations</w:t>
              </w:r>
            </w:hyperlink>
            <w:r w:rsidRPr="00EC38FE">
              <w:rPr>
                <w:rFonts w:cs="Arial"/>
                <w:bCs/>
                <w:color w:val="000000" w:themeColor="text1"/>
                <w:sz w:val="19"/>
                <w:szCs w:val="19"/>
                <w:bdr w:val="none" w:sz="0" w:space="0" w:color="auto" w:frame="1"/>
                <w:shd w:val="clear" w:color="auto" w:fill="FFFFFF"/>
              </w:rPr>
              <w:t> </w:t>
            </w:r>
            <w:r w:rsidRPr="00EC38FE">
              <w:rPr>
                <w:rFonts w:cs="Arial"/>
                <w:color w:val="000000" w:themeColor="text1"/>
                <w:sz w:val="19"/>
                <w:szCs w:val="19"/>
                <w:shd w:val="clear" w:color="auto" w:fill="FFFFFF"/>
              </w:rPr>
              <w:t xml:space="preserve">is coordinating cross-sector efforts to close the “skills gap.” Members include leaders in the manufacturing, retail, healthcare, energy, construction, hospitality, transportation and information technology sectors. Their efforts have focused on supporting stackable credentials, </w:t>
            </w:r>
            <w:r w:rsidRPr="00EC38FE">
              <w:rPr>
                <w:rFonts w:cs="Arial"/>
                <w:b/>
                <w:color w:val="000000" w:themeColor="text1"/>
                <w:sz w:val="19"/>
                <w:szCs w:val="19"/>
                <w:shd w:val="clear" w:color="auto" w:fill="FFFFFF"/>
              </w:rPr>
              <w:t>common employability skills</w:t>
            </w:r>
            <w:r w:rsidRPr="00EC38FE">
              <w:rPr>
                <w:rFonts w:cs="Arial"/>
                <w:color w:val="000000" w:themeColor="text1"/>
                <w:sz w:val="19"/>
                <w:szCs w:val="19"/>
                <w:shd w:val="clear" w:color="auto" w:fill="FFFFFF"/>
              </w:rPr>
              <w:t xml:space="preserve"> that cut across sectors, and hiring based on competency.</w:t>
            </w:r>
            <w:r w:rsidRPr="00EC38FE">
              <w:rPr>
                <w:color w:val="000000" w:themeColor="text1"/>
                <w:sz w:val="19"/>
                <w:szCs w:val="19"/>
              </w:rPr>
              <w:t xml:space="preserve"> </w:t>
            </w:r>
            <w:hyperlink r:id="rId38" w:history="1">
              <w:r w:rsidRPr="00EC38FE">
                <w:rPr>
                  <w:color w:val="F78F1E"/>
                  <w:sz w:val="19"/>
                  <w:szCs w:val="19"/>
                  <w:u w:val="single"/>
                </w:rPr>
                <w:t>http://actfdn.org/business-industry-groups-advance-efforts-close-skills-gap/</w:t>
              </w:r>
            </w:hyperlink>
          </w:p>
        </w:tc>
        <w:tc>
          <w:tcPr>
            <w:tcW w:w="2250" w:type="dxa"/>
          </w:tcPr>
          <w:p w14:paraId="65C61BF4" w14:textId="38E62AC9" w:rsidR="00CA7477" w:rsidRPr="00DB3D14" w:rsidRDefault="00CA7477" w:rsidP="00E83ADC">
            <w:pPr>
              <w:jc w:val="center"/>
              <w:rPr>
                <w:rFonts w:asciiTheme="minorHAnsi" w:hAnsiTheme="minorHAnsi"/>
                <w:sz w:val="19"/>
                <w:szCs w:val="19"/>
              </w:rPr>
            </w:pPr>
            <w:r w:rsidRPr="00DB3D14">
              <w:rPr>
                <w:rFonts w:asciiTheme="minorHAnsi" w:eastAsia="Times New Roman" w:hAnsiTheme="minorHAnsi" w:cs="Times New Roman"/>
                <w:sz w:val="19"/>
                <w:szCs w:val="19"/>
              </w:rPr>
              <w:t xml:space="preserve">National Network of Business and Industry Associations  --Lumina, Joyce, ACT </w:t>
            </w:r>
            <w:r>
              <w:rPr>
                <w:rFonts w:asciiTheme="minorHAnsi" w:eastAsia="Times New Roman" w:hAnsiTheme="minorHAnsi" w:cs="Times New Roman"/>
                <w:sz w:val="19"/>
                <w:szCs w:val="19"/>
              </w:rPr>
              <w:t xml:space="preserve">&amp; </w:t>
            </w:r>
            <w:r w:rsidRPr="00DB3D14">
              <w:rPr>
                <w:rFonts w:asciiTheme="minorHAnsi" w:eastAsia="Times New Roman" w:hAnsiTheme="minorHAnsi" w:cs="Times New Roman"/>
                <w:sz w:val="19"/>
                <w:szCs w:val="19"/>
              </w:rPr>
              <w:t xml:space="preserve"> Walmart Foundations</w:t>
            </w:r>
          </w:p>
        </w:tc>
      </w:tr>
      <w:tr w:rsidR="00CA7477" w14:paraId="14BD270A" w14:textId="77777777" w:rsidTr="00210234">
        <w:trPr>
          <w:trHeight w:val="467"/>
        </w:trPr>
        <w:tc>
          <w:tcPr>
            <w:tcW w:w="1710" w:type="dxa"/>
            <w:vMerge/>
            <w:tcBorders>
              <w:right w:val="single" w:sz="8" w:space="0" w:color="000000"/>
            </w:tcBorders>
            <w:shd w:val="clear" w:color="auto" w:fill="F2DBDB" w:themeFill="accent2" w:themeFillTint="33"/>
          </w:tcPr>
          <w:p w14:paraId="518EA3A5" w14:textId="77777777" w:rsidR="00CA7477" w:rsidRPr="00A007DE" w:rsidRDefault="00CA7477">
            <w:pPr>
              <w:rPr>
                <w:rFonts w:asciiTheme="minorHAnsi" w:hAnsiTheme="minorHAnsi"/>
                <w:sz w:val="20"/>
                <w:szCs w:val="20"/>
              </w:rPr>
            </w:pPr>
          </w:p>
        </w:tc>
        <w:tc>
          <w:tcPr>
            <w:tcW w:w="540" w:type="dxa"/>
          </w:tcPr>
          <w:p w14:paraId="6828C6E2" w14:textId="77777777" w:rsidR="00CA7477" w:rsidRPr="00DB3D14" w:rsidRDefault="00CA7477" w:rsidP="005E223B">
            <w:pPr>
              <w:pStyle w:val="ListParagraph"/>
              <w:numPr>
                <w:ilvl w:val="0"/>
                <w:numId w:val="37"/>
              </w:numPr>
              <w:ind w:left="288"/>
              <w:jc w:val="center"/>
              <w:rPr>
                <w:rFonts w:asciiTheme="minorHAnsi" w:eastAsia="Times New Roman" w:hAnsiTheme="minorHAnsi" w:cs="Times New Roman"/>
                <w:b/>
                <w:sz w:val="19"/>
                <w:szCs w:val="19"/>
              </w:rPr>
            </w:pPr>
          </w:p>
        </w:tc>
        <w:tc>
          <w:tcPr>
            <w:tcW w:w="9810" w:type="dxa"/>
          </w:tcPr>
          <w:p w14:paraId="7F62B30D" w14:textId="6CD8051B" w:rsidR="00CA7477" w:rsidRPr="00DB3D14" w:rsidRDefault="00CA7477">
            <w:pPr>
              <w:rPr>
                <w:rFonts w:asciiTheme="minorHAnsi" w:eastAsia="Times New Roman" w:hAnsiTheme="minorHAnsi" w:cs="Times New Roman"/>
                <w:b/>
                <w:color w:val="auto"/>
                <w:sz w:val="19"/>
                <w:szCs w:val="19"/>
              </w:rPr>
            </w:pPr>
            <w:r w:rsidRPr="00DB3D14">
              <w:rPr>
                <w:rFonts w:asciiTheme="minorHAnsi" w:eastAsia="Times New Roman" w:hAnsiTheme="minorHAnsi" w:cs="Times New Roman"/>
                <w:color w:val="auto"/>
                <w:sz w:val="19"/>
                <w:szCs w:val="19"/>
              </w:rPr>
              <w:t>Multiple efforts on the ground (e.g., C</w:t>
            </w:r>
            <w:r>
              <w:rPr>
                <w:rFonts w:asciiTheme="minorHAnsi" w:eastAsia="Times New Roman" w:hAnsiTheme="minorHAnsi" w:cs="Times New Roman"/>
                <w:color w:val="auto"/>
                <w:sz w:val="19"/>
                <w:szCs w:val="19"/>
              </w:rPr>
              <w:t>ity of Albuquerque, Governor’s O</w:t>
            </w:r>
            <w:r w:rsidRPr="00DB3D14">
              <w:rPr>
                <w:rFonts w:asciiTheme="minorHAnsi" w:eastAsia="Times New Roman" w:hAnsiTheme="minorHAnsi" w:cs="Times New Roman"/>
                <w:color w:val="auto"/>
                <w:sz w:val="19"/>
                <w:szCs w:val="19"/>
              </w:rPr>
              <w:t xml:space="preserve">ffice of Economic Development, Turning Point WIB, Utah) </w:t>
            </w:r>
            <w:r>
              <w:rPr>
                <w:rFonts w:asciiTheme="minorHAnsi" w:eastAsia="Times New Roman" w:hAnsiTheme="minorHAnsi" w:cs="Times New Roman"/>
                <w:color w:val="auto"/>
                <w:sz w:val="19"/>
                <w:szCs w:val="19"/>
              </w:rPr>
              <w:t xml:space="preserve">to </w:t>
            </w:r>
            <w:r w:rsidR="00DE63EF">
              <w:rPr>
                <w:rFonts w:asciiTheme="minorHAnsi" w:eastAsia="Times New Roman" w:hAnsiTheme="minorHAnsi" w:cs="Times New Roman"/>
                <w:color w:val="auto"/>
                <w:sz w:val="19"/>
                <w:szCs w:val="19"/>
              </w:rPr>
              <w:t>pilot</w:t>
            </w:r>
            <w:r w:rsidRPr="00DB3D14">
              <w:rPr>
                <w:rFonts w:asciiTheme="minorHAnsi" w:eastAsia="Times New Roman" w:hAnsiTheme="minorHAnsi" w:cs="Times New Roman"/>
                <w:color w:val="auto"/>
                <w:sz w:val="19"/>
                <w:szCs w:val="19"/>
              </w:rPr>
              <w:t xml:space="preserve"> </w:t>
            </w:r>
            <w:r w:rsidRPr="00DE266B">
              <w:rPr>
                <w:rFonts w:asciiTheme="minorHAnsi" w:eastAsia="Times New Roman" w:hAnsiTheme="minorHAnsi" w:cs="Times New Roman"/>
                <w:b/>
                <w:color w:val="auto"/>
                <w:sz w:val="19"/>
                <w:szCs w:val="19"/>
              </w:rPr>
              <w:t>demand- driven validation of core competencies</w:t>
            </w:r>
            <w:r w:rsidRPr="00DB3D14">
              <w:rPr>
                <w:rFonts w:asciiTheme="minorHAnsi" w:eastAsia="Times New Roman" w:hAnsiTheme="minorHAnsi" w:cs="Times New Roman"/>
                <w:color w:val="auto"/>
                <w:sz w:val="19"/>
                <w:szCs w:val="19"/>
              </w:rPr>
              <w:t>, with focus on employer hiring based on continually updated and validated skills/competencies.</w:t>
            </w:r>
          </w:p>
        </w:tc>
        <w:tc>
          <w:tcPr>
            <w:tcW w:w="2250" w:type="dxa"/>
          </w:tcPr>
          <w:p w14:paraId="087BE998" w14:textId="7B15C038" w:rsidR="00CA7477" w:rsidRPr="00DB3D14" w:rsidRDefault="00CA7477" w:rsidP="00BA554D">
            <w:pPr>
              <w:jc w:val="center"/>
              <w:rPr>
                <w:rFonts w:asciiTheme="minorHAnsi" w:eastAsia="Times New Roman" w:hAnsiTheme="minorHAnsi" w:cs="Times New Roman"/>
                <w:sz w:val="19"/>
                <w:szCs w:val="19"/>
              </w:rPr>
            </w:pPr>
            <w:r w:rsidRPr="00DB3D14">
              <w:rPr>
                <w:rFonts w:asciiTheme="minorHAnsi" w:eastAsia="Times New Roman" w:hAnsiTheme="minorHAnsi" w:cs="Times New Roman"/>
                <w:sz w:val="19"/>
                <w:szCs w:val="19"/>
              </w:rPr>
              <w:t>Innovate+Educate – Joyce and  Walmart Foundations</w:t>
            </w:r>
          </w:p>
        </w:tc>
      </w:tr>
      <w:tr w:rsidR="00DE63EF" w14:paraId="5D4D32D0" w14:textId="77777777" w:rsidTr="00210234">
        <w:trPr>
          <w:trHeight w:val="467"/>
        </w:trPr>
        <w:tc>
          <w:tcPr>
            <w:tcW w:w="1710" w:type="dxa"/>
            <w:vMerge/>
            <w:tcBorders>
              <w:right w:val="single" w:sz="8" w:space="0" w:color="000000"/>
            </w:tcBorders>
            <w:shd w:val="clear" w:color="auto" w:fill="F2DBDB" w:themeFill="accent2" w:themeFillTint="33"/>
          </w:tcPr>
          <w:p w14:paraId="00504C3A" w14:textId="77777777" w:rsidR="00DE63EF" w:rsidRPr="00A007DE" w:rsidRDefault="00DE63EF">
            <w:pPr>
              <w:rPr>
                <w:rFonts w:asciiTheme="minorHAnsi" w:hAnsiTheme="minorHAnsi"/>
                <w:sz w:val="20"/>
                <w:szCs w:val="20"/>
              </w:rPr>
            </w:pPr>
          </w:p>
        </w:tc>
        <w:tc>
          <w:tcPr>
            <w:tcW w:w="540" w:type="dxa"/>
          </w:tcPr>
          <w:p w14:paraId="2388EDD1" w14:textId="77777777" w:rsidR="00DE63EF" w:rsidRPr="00DB3D14" w:rsidRDefault="00DE63EF" w:rsidP="005E223B">
            <w:pPr>
              <w:pStyle w:val="ListParagraph"/>
              <w:numPr>
                <w:ilvl w:val="0"/>
                <w:numId w:val="37"/>
              </w:numPr>
              <w:ind w:left="288"/>
              <w:jc w:val="center"/>
              <w:rPr>
                <w:rFonts w:asciiTheme="minorHAnsi" w:eastAsia="Times New Roman" w:hAnsiTheme="minorHAnsi" w:cs="Times New Roman"/>
                <w:b/>
                <w:sz w:val="19"/>
                <w:szCs w:val="19"/>
              </w:rPr>
            </w:pPr>
          </w:p>
        </w:tc>
        <w:tc>
          <w:tcPr>
            <w:tcW w:w="9810" w:type="dxa"/>
          </w:tcPr>
          <w:p w14:paraId="57182CDD" w14:textId="27FB59DB" w:rsidR="00DE63EF" w:rsidRPr="00DE63EF" w:rsidRDefault="00DE63EF" w:rsidP="00DE63EF">
            <w:pPr>
              <w:spacing w:after="120"/>
              <w:rPr>
                <w:sz w:val="19"/>
                <w:szCs w:val="19"/>
              </w:rPr>
            </w:pPr>
            <w:r w:rsidRPr="00DE63EF">
              <w:rPr>
                <w:b/>
                <w:color w:val="000000" w:themeColor="text1"/>
                <w:sz w:val="19"/>
                <w:szCs w:val="19"/>
              </w:rPr>
              <w:t>Retail+Plus and National Retail Services Competency Model</w:t>
            </w:r>
            <w:r w:rsidRPr="00DE63EF">
              <w:rPr>
                <w:color w:val="000000" w:themeColor="text1"/>
                <w:sz w:val="19"/>
                <w:szCs w:val="19"/>
              </w:rPr>
              <w:t xml:space="preserve"> – </w:t>
            </w:r>
            <w:r w:rsidRPr="00DE63EF">
              <w:rPr>
                <w:bCs/>
                <w:color w:val="000000" w:themeColor="text1"/>
                <w:sz w:val="19"/>
                <w:szCs w:val="19"/>
              </w:rPr>
              <w:t>Led</w:t>
            </w:r>
            <w:r w:rsidRPr="00DE63EF">
              <w:rPr>
                <w:color w:val="000000" w:themeColor="text1"/>
                <w:sz w:val="19"/>
                <w:szCs w:val="19"/>
              </w:rPr>
              <w:t xml:space="preserve"> by Innovate+Educate together with the Walmart Foundation, Retail-Plus seeks to grow a skilled workforce for the rapidly growing retail services sector in Dallas. The project seeks to advance entry-level incumbent workers to supervisory positions based on skills and competencies achieved through training and validated via assessment(s). This is part of a broader effort to leverage c</w:t>
            </w:r>
            <w:r w:rsidRPr="00DE63EF">
              <w:rPr>
                <w:bCs/>
                <w:color w:val="000000" w:themeColor="text1"/>
                <w:sz w:val="19"/>
                <w:szCs w:val="19"/>
              </w:rPr>
              <w:t>ompetency models for retail services and adjacent industries that will serve as the foundation to educate, recruit, hire, promote, and retain a highly skilled and credentialed workforce</w:t>
            </w:r>
            <w:r w:rsidRPr="00DE63EF">
              <w:rPr>
                <w:color w:val="000000" w:themeColor="text1"/>
                <w:sz w:val="19"/>
                <w:szCs w:val="19"/>
              </w:rPr>
              <w:t xml:space="preserve">. </w:t>
            </w:r>
            <w:hyperlink r:id="rId39" w:anchor="innovate-educate" w:history="1">
              <w:r w:rsidRPr="00DE63EF">
                <w:rPr>
                  <w:color w:val="F78F1E"/>
                  <w:sz w:val="19"/>
                  <w:szCs w:val="19"/>
                  <w:u w:val="single"/>
                </w:rPr>
                <w:t>http://www.innovate-educate.org/#innovate-educate</w:t>
              </w:r>
            </w:hyperlink>
            <w:r w:rsidRPr="00DE63EF">
              <w:rPr>
                <w:color w:val="000000" w:themeColor="text1"/>
                <w:sz w:val="19"/>
                <w:szCs w:val="19"/>
              </w:rPr>
              <w:t xml:space="preserve"> </w:t>
            </w:r>
          </w:p>
        </w:tc>
        <w:tc>
          <w:tcPr>
            <w:tcW w:w="2250" w:type="dxa"/>
          </w:tcPr>
          <w:p w14:paraId="43058E1A" w14:textId="77777777" w:rsidR="00DE63EF" w:rsidRDefault="00DE63EF" w:rsidP="00BA554D">
            <w:pPr>
              <w:jc w:val="center"/>
              <w:rPr>
                <w:rFonts w:asciiTheme="minorHAnsi" w:eastAsia="Times New Roman" w:hAnsiTheme="minorHAnsi" w:cs="Times New Roman"/>
                <w:sz w:val="19"/>
                <w:szCs w:val="19"/>
              </w:rPr>
            </w:pPr>
            <w:r>
              <w:rPr>
                <w:rFonts w:asciiTheme="minorHAnsi" w:eastAsia="Times New Roman" w:hAnsiTheme="minorHAnsi" w:cs="Times New Roman"/>
                <w:sz w:val="19"/>
                <w:szCs w:val="19"/>
              </w:rPr>
              <w:t>Innovate+Educate</w:t>
            </w:r>
          </w:p>
          <w:p w14:paraId="557DFC84" w14:textId="50C03F26" w:rsidR="00DE63EF" w:rsidRPr="00DB3D14" w:rsidRDefault="00DE63EF" w:rsidP="00BA554D">
            <w:pPr>
              <w:jc w:val="center"/>
              <w:rPr>
                <w:rFonts w:asciiTheme="minorHAnsi" w:eastAsia="Times New Roman" w:hAnsiTheme="minorHAnsi" w:cs="Times New Roman"/>
                <w:sz w:val="19"/>
                <w:szCs w:val="19"/>
              </w:rPr>
            </w:pPr>
            <w:r>
              <w:rPr>
                <w:rFonts w:asciiTheme="minorHAnsi" w:eastAsia="Times New Roman" w:hAnsiTheme="minorHAnsi" w:cs="Times New Roman"/>
                <w:sz w:val="19"/>
                <w:szCs w:val="19"/>
              </w:rPr>
              <w:t>Walmart Foundation</w:t>
            </w:r>
          </w:p>
        </w:tc>
      </w:tr>
      <w:tr w:rsidR="00CA7477" w14:paraId="5CC5C443" w14:textId="77777777" w:rsidTr="00210234">
        <w:trPr>
          <w:trHeight w:val="780"/>
        </w:trPr>
        <w:tc>
          <w:tcPr>
            <w:tcW w:w="1710" w:type="dxa"/>
            <w:vMerge/>
            <w:tcBorders>
              <w:right w:val="single" w:sz="8" w:space="0" w:color="000000"/>
            </w:tcBorders>
            <w:shd w:val="clear" w:color="auto" w:fill="F2DBDB" w:themeFill="accent2" w:themeFillTint="33"/>
          </w:tcPr>
          <w:p w14:paraId="263F7C32" w14:textId="77777777" w:rsidR="00CA7477" w:rsidRPr="00A007DE" w:rsidRDefault="00CA7477" w:rsidP="00D74B46">
            <w:pPr>
              <w:rPr>
                <w:rFonts w:asciiTheme="minorHAnsi" w:hAnsiTheme="minorHAnsi"/>
                <w:sz w:val="20"/>
                <w:szCs w:val="20"/>
              </w:rPr>
            </w:pPr>
          </w:p>
        </w:tc>
        <w:tc>
          <w:tcPr>
            <w:tcW w:w="540" w:type="dxa"/>
            <w:tcBorders>
              <w:right w:val="single" w:sz="8" w:space="0" w:color="000000"/>
            </w:tcBorders>
          </w:tcPr>
          <w:p w14:paraId="6C8C511E" w14:textId="6E6BC525" w:rsidR="00CA7477" w:rsidRPr="00DB3D14" w:rsidRDefault="00CA7477" w:rsidP="005E223B">
            <w:pPr>
              <w:pStyle w:val="ListParagraph"/>
              <w:numPr>
                <w:ilvl w:val="0"/>
                <w:numId w:val="37"/>
              </w:numPr>
              <w:ind w:left="288"/>
              <w:jc w:val="center"/>
              <w:rPr>
                <w:rFonts w:asciiTheme="minorHAnsi" w:eastAsia="Times New Roman" w:hAnsiTheme="minorHAnsi" w:cs="Times New Roman"/>
                <w:b/>
                <w:sz w:val="19"/>
                <w:szCs w:val="19"/>
              </w:rPr>
            </w:pPr>
          </w:p>
        </w:tc>
        <w:tc>
          <w:tcPr>
            <w:tcW w:w="9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10ECA0" w14:textId="77777777" w:rsidR="00CA7477" w:rsidRPr="00DB3D14" w:rsidRDefault="00CA7477" w:rsidP="00C21954">
            <w:pPr>
              <w:ind w:left="80"/>
              <w:rPr>
                <w:rFonts w:asciiTheme="minorHAnsi" w:hAnsiTheme="minorHAnsi"/>
                <w:color w:val="auto"/>
                <w:sz w:val="19"/>
                <w:szCs w:val="19"/>
              </w:rPr>
            </w:pPr>
            <w:r w:rsidRPr="00DB3D14">
              <w:rPr>
                <w:rFonts w:asciiTheme="minorHAnsi" w:eastAsia="Times New Roman" w:hAnsiTheme="minorHAnsi" w:cs="Times New Roman"/>
                <w:color w:val="auto"/>
                <w:sz w:val="19"/>
                <w:szCs w:val="19"/>
              </w:rPr>
              <w:t xml:space="preserve">Provides most widely utilized </w:t>
            </w:r>
            <w:r w:rsidRPr="00DB3D14">
              <w:rPr>
                <w:rFonts w:asciiTheme="minorHAnsi" w:eastAsia="Times New Roman" w:hAnsiTheme="minorHAnsi" w:cs="Times New Roman"/>
                <w:b/>
                <w:color w:val="auto"/>
                <w:sz w:val="19"/>
                <w:szCs w:val="19"/>
              </w:rPr>
              <w:t>projections of employer demand for educational degrees and certificates</w:t>
            </w:r>
            <w:r w:rsidRPr="00DB3D14">
              <w:rPr>
                <w:rFonts w:asciiTheme="minorHAnsi" w:eastAsia="Times New Roman" w:hAnsiTheme="minorHAnsi" w:cs="Times New Roman"/>
                <w:color w:val="auto"/>
                <w:sz w:val="19"/>
                <w:szCs w:val="19"/>
              </w:rPr>
              <w:t>, nationwide and for individual states. The Center’s projections are used by employer associations to gauge hiring demand and used by state postsecondary systems to create credentialing goals.</w:t>
            </w:r>
            <w:r w:rsidRPr="00DB3D14">
              <w:rPr>
                <w:rFonts w:asciiTheme="minorHAnsi" w:eastAsia="Times New Roman" w:hAnsiTheme="minorHAnsi" w:cs="Times New Roman"/>
                <w:b/>
                <w:color w:val="auto"/>
                <w:sz w:val="19"/>
                <w:szCs w:val="19"/>
              </w:rPr>
              <w:t xml:space="preserve"> </w:t>
            </w:r>
          </w:p>
        </w:tc>
        <w:tc>
          <w:tcPr>
            <w:tcW w:w="2250" w:type="dxa"/>
          </w:tcPr>
          <w:p w14:paraId="4A52925D" w14:textId="122EB92D" w:rsidR="00CA7477" w:rsidRPr="00DB3D14" w:rsidRDefault="00CA7477" w:rsidP="00595099">
            <w:pPr>
              <w:jc w:val="center"/>
              <w:rPr>
                <w:rFonts w:asciiTheme="minorHAnsi" w:hAnsiTheme="minorHAnsi"/>
                <w:sz w:val="19"/>
                <w:szCs w:val="19"/>
              </w:rPr>
            </w:pPr>
            <w:r w:rsidRPr="00DB3D14">
              <w:rPr>
                <w:rFonts w:asciiTheme="minorHAnsi" w:eastAsia="Times New Roman" w:hAnsiTheme="minorHAnsi" w:cs="Times New Roman"/>
                <w:sz w:val="19"/>
                <w:szCs w:val="19"/>
              </w:rPr>
              <w:t xml:space="preserve">Georgetown University Center on Education </w:t>
            </w:r>
            <w:r>
              <w:rPr>
                <w:rFonts w:asciiTheme="minorHAnsi" w:eastAsia="Times New Roman" w:hAnsiTheme="minorHAnsi" w:cs="Times New Roman"/>
                <w:sz w:val="19"/>
                <w:szCs w:val="19"/>
              </w:rPr>
              <w:t xml:space="preserve">&amp; </w:t>
            </w:r>
            <w:r w:rsidRPr="00DB3D14">
              <w:rPr>
                <w:rFonts w:asciiTheme="minorHAnsi" w:eastAsia="Times New Roman" w:hAnsiTheme="minorHAnsi" w:cs="Times New Roman"/>
                <w:sz w:val="19"/>
                <w:szCs w:val="19"/>
              </w:rPr>
              <w:t xml:space="preserve"> the Workforce -- Gates, Lumina </w:t>
            </w:r>
            <w:r>
              <w:rPr>
                <w:rFonts w:asciiTheme="minorHAnsi" w:eastAsia="Times New Roman" w:hAnsiTheme="minorHAnsi" w:cs="Times New Roman"/>
                <w:sz w:val="19"/>
                <w:szCs w:val="19"/>
              </w:rPr>
              <w:t xml:space="preserve">&amp; </w:t>
            </w:r>
            <w:r w:rsidRPr="00DB3D14">
              <w:rPr>
                <w:rFonts w:asciiTheme="minorHAnsi" w:eastAsia="Times New Roman" w:hAnsiTheme="minorHAnsi" w:cs="Times New Roman"/>
                <w:sz w:val="19"/>
                <w:szCs w:val="19"/>
              </w:rPr>
              <w:t>Joyce Foundations</w:t>
            </w:r>
          </w:p>
        </w:tc>
      </w:tr>
      <w:tr w:rsidR="00CA7477" w14:paraId="04C9AC42" w14:textId="77777777" w:rsidTr="00210234">
        <w:trPr>
          <w:trHeight w:val="951"/>
        </w:trPr>
        <w:tc>
          <w:tcPr>
            <w:tcW w:w="1710" w:type="dxa"/>
            <w:vMerge/>
            <w:tcBorders>
              <w:right w:val="single" w:sz="8" w:space="0" w:color="000000"/>
            </w:tcBorders>
            <w:shd w:val="clear" w:color="auto" w:fill="F2DBDB" w:themeFill="accent2" w:themeFillTint="33"/>
          </w:tcPr>
          <w:p w14:paraId="2A072D4F" w14:textId="77777777" w:rsidR="00CA7477" w:rsidRPr="00A007DE" w:rsidRDefault="00CA7477" w:rsidP="00D74B46">
            <w:pPr>
              <w:rPr>
                <w:sz w:val="20"/>
                <w:szCs w:val="20"/>
              </w:rPr>
            </w:pPr>
          </w:p>
        </w:tc>
        <w:tc>
          <w:tcPr>
            <w:tcW w:w="540" w:type="dxa"/>
            <w:tcBorders>
              <w:right w:val="single" w:sz="8" w:space="0" w:color="000000"/>
            </w:tcBorders>
          </w:tcPr>
          <w:p w14:paraId="706209E9" w14:textId="3777209E" w:rsidR="00CA7477" w:rsidRPr="00DB3D14" w:rsidRDefault="00CA7477" w:rsidP="005E223B">
            <w:pPr>
              <w:pStyle w:val="ListParagraph"/>
              <w:numPr>
                <w:ilvl w:val="0"/>
                <w:numId w:val="37"/>
              </w:numPr>
              <w:ind w:left="288"/>
              <w:jc w:val="center"/>
              <w:rPr>
                <w:rFonts w:asciiTheme="minorHAnsi" w:eastAsia="Times New Roman" w:hAnsiTheme="minorHAnsi" w:cs="Times New Roman"/>
                <w:b/>
                <w:sz w:val="19"/>
                <w:szCs w:val="19"/>
              </w:rPr>
            </w:pPr>
          </w:p>
        </w:tc>
        <w:tc>
          <w:tcPr>
            <w:tcW w:w="9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232428" w14:textId="41D6123B" w:rsidR="00CA7477" w:rsidRPr="00DB3D14" w:rsidRDefault="00CA7477" w:rsidP="00140173">
            <w:pPr>
              <w:ind w:left="80"/>
              <w:rPr>
                <w:rFonts w:asciiTheme="minorHAnsi" w:hAnsiTheme="minorHAnsi"/>
                <w:color w:val="auto"/>
                <w:sz w:val="19"/>
                <w:szCs w:val="19"/>
              </w:rPr>
            </w:pPr>
            <w:r w:rsidRPr="00DB3D14">
              <w:rPr>
                <w:rFonts w:asciiTheme="minorHAnsi" w:eastAsia="Times New Roman" w:hAnsiTheme="minorHAnsi" w:cs="Times New Roman"/>
                <w:color w:val="auto"/>
                <w:sz w:val="19"/>
                <w:szCs w:val="19"/>
              </w:rPr>
              <w:t xml:space="preserve">Works with more than a dozen states to develop </w:t>
            </w:r>
            <w:r w:rsidRPr="00DE266B">
              <w:rPr>
                <w:rFonts w:asciiTheme="minorHAnsi" w:eastAsia="Times New Roman" w:hAnsiTheme="minorHAnsi" w:cs="Times New Roman"/>
                <w:b/>
                <w:color w:val="auto"/>
                <w:sz w:val="19"/>
                <w:szCs w:val="19"/>
              </w:rPr>
              <w:t xml:space="preserve">tools that use </w:t>
            </w:r>
            <w:r>
              <w:rPr>
                <w:rFonts w:asciiTheme="minorHAnsi" w:eastAsia="Times New Roman" w:hAnsiTheme="minorHAnsi" w:cs="Times New Roman"/>
                <w:b/>
                <w:color w:val="auto"/>
                <w:sz w:val="19"/>
                <w:szCs w:val="19"/>
              </w:rPr>
              <w:t>State Longitudinal Data Systems (</w:t>
            </w:r>
            <w:r w:rsidRPr="00DE266B">
              <w:rPr>
                <w:rFonts w:asciiTheme="minorHAnsi" w:eastAsia="Times New Roman" w:hAnsiTheme="minorHAnsi" w:cs="Times New Roman"/>
                <w:b/>
                <w:color w:val="auto"/>
                <w:sz w:val="19"/>
                <w:szCs w:val="19"/>
              </w:rPr>
              <w:t>SLDS</w:t>
            </w:r>
            <w:r>
              <w:rPr>
                <w:rFonts w:asciiTheme="minorHAnsi" w:eastAsia="Times New Roman" w:hAnsiTheme="minorHAnsi" w:cs="Times New Roman"/>
                <w:b/>
                <w:color w:val="auto"/>
                <w:sz w:val="19"/>
                <w:szCs w:val="19"/>
              </w:rPr>
              <w:t>)</w:t>
            </w:r>
            <w:r w:rsidRPr="00DE266B">
              <w:rPr>
                <w:rFonts w:asciiTheme="minorHAnsi" w:eastAsia="Times New Roman" w:hAnsiTheme="minorHAnsi" w:cs="Times New Roman"/>
                <w:b/>
                <w:color w:val="auto"/>
                <w:sz w:val="19"/>
                <w:szCs w:val="19"/>
              </w:rPr>
              <w:t xml:space="preserve"> data</w:t>
            </w:r>
            <w:r w:rsidRPr="00DB3D14">
              <w:rPr>
                <w:rFonts w:asciiTheme="minorHAnsi" w:eastAsia="Times New Roman" w:hAnsiTheme="minorHAnsi" w:cs="Times New Roman"/>
                <w:color w:val="auto"/>
                <w:sz w:val="19"/>
                <w:szCs w:val="19"/>
              </w:rPr>
              <w:t xml:space="preserve"> to: (1) Balance enrollments relative to labor market demand. (2) Align curriculum with workforce requirements. (3) Connect counseling to career pathways. (4) Assist in job placement and skill gap analysis. (5) Assist in workforce planning for business expansion and economic development. See report: Recovery 2020</w:t>
            </w:r>
            <w:r w:rsidRPr="00DB3D14">
              <w:rPr>
                <w:rFonts w:asciiTheme="minorHAnsi" w:eastAsia="Times New Roman" w:hAnsiTheme="minorHAnsi" w:cs="Times New Roman"/>
                <w:b/>
                <w:color w:val="auto"/>
                <w:sz w:val="19"/>
                <w:szCs w:val="19"/>
                <w:highlight w:val="yellow"/>
              </w:rPr>
              <w:t xml:space="preserve"> </w:t>
            </w:r>
          </w:p>
        </w:tc>
        <w:tc>
          <w:tcPr>
            <w:tcW w:w="2250" w:type="dxa"/>
          </w:tcPr>
          <w:p w14:paraId="6B2EFDC0" w14:textId="1B72C0A9" w:rsidR="00CA7477" w:rsidRPr="00DB3D14" w:rsidRDefault="00CA7477" w:rsidP="00595099">
            <w:pPr>
              <w:jc w:val="center"/>
              <w:rPr>
                <w:rFonts w:asciiTheme="minorHAnsi" w:hAnsiTheme="minorHAnsi"/>
                <w:sz w:val="19"/>
                <w:szCs w:val="19"/>
              </w:rPr>
            </w:pPr>
            <w:r w:rsidRPr="00DB3D14">
              <w:rPr>
                <w:rFonts w:asciiTheme="minorHAnsi" w:eastAsia="Times New Roman" w:hAnsiTheme="minorHAnsi" w:cs="Times New Roman"/>
                <w:sz w:val="19"/>
                <w:szCs w:val="19"/>
              </w:rPr>
              <w:t xml:space="preserve">Georgetown University Center on Education </w:t>
            </w:r>
            <w:r>
              <w:rPr>
                <w:rFonts w:asciiTheme="minorHAnsi" w:eastAsia="Times New Roman" w:hAnsiTheme="minorHAnsi" w:cs="Times New Roman"/>
                <w:sz w:val="19"/>
                <w:szCs w:val="19"/>
              </w:rPr>
              <w:t>&amp;</w:t>
            </w:r>
            <w:r w:rsidRPr="00DB3D14">
              <w:rPr>
                <w:rFonts w:asciiTheme="minorHAnsi" w:eastAsia="Times New Roman" w:hAnsiTheme="minorHAnsi" w:cs="Times New Roman"/>
                <w:sz w:val="19"/>
                <w:szCs w:val="19"/>
              </w:rPr>
              <w:t xml:space="preserve"> the Workforce -- Gates, Lumina </w:t>
            </w:r>
            <w:r>
              <w:rPr>
                <w:rFonts w:asciiTheme="minorHAnsi" w:eastAsia="Times New Roman" w:hAnsiTheme="minorHAnsi" w:cs="Times New Roman"/>
                <w:sz w:val="19"/>
                <w:szCs w:val="19"/>
              </w:rPr>
              <w:t>&amp;</w:t>
            </w:r>
            <w:r w:rsidRPr="00DB3D14">
              <w:rPr>
                <w:rFonts w:asciiTheme="minorHAnsi" w:eastAsia="Times New Roman" w:hAnsiTheme="minorHAnsi" w:cs="Times New Roman"/>
                <w:sz w:val="19"/>
                <w:szCs w:val="19"/>
              </w:rPr>
              <w:t xml:space="preserve"> Joyce Foundations</w:t>
            </w:r>
          </w:p>
        </w:tc>
      </w:tr>
      <w:tr w:rsidR="00CA7477" w14:paraId="1EA58BA2" w14:textId="77777777" w:rsidTr="00210234">
        <w:tc>
          <w:tcPr>
            <w:tcW w:w="1710" w:type="dxa"/>
            <w:vMerge/>
            <w:tcBorders>
              <w:right w:val="single" w:sz="8" w:space="0" w:color="000000"/>
            </w:tcBorders>
            <w:shd w:val="clear" w:color="auto" w:fill="F2DBDB" w:themeFill="accent2" w:themeFillTint="33"/>
          </w:tcPr>
          <w:p w14:paraId="47E21D0B" w14:textId="77777777" w:rsidR="00CA7477" w:rsidRPr="00A007DE" w:rsidRDefault="00CA7477" w:rsidP="00D74B46">
            <w:pPr>
              <w:rPr>
                <w:sz w:val="20"/>
                <w:szCs w:val="20"/>
              </w:rPr>
            </w:pPr>
          </w:p>
        </w:tc>
        <w:tc>
          <w:tcPr>
            <w:tcW w:w="540" w:type="dxa"/>
            <w:tcBorders>
              <w:left w:val="single" w:sz="8" w:space="0" w:color="000000"/>
            </w:tcBorders>
          </w:tcPr>
          <w:p w14:paraId="48810A42" w14:textId="702B10C2" w:rsidR="00CA7477" w:rsidRPr="00DB3D14" w:rsidRDefault="00CA7477" w:rsidP="005E223B">
            <w:pPr>
              <w:pStyle w:val="ListParagraph"/>
              <w:numPr>
                <w:ilvl w:val="0"/>
                <w:numId w:val="37"/>
              </w:numPr>
              <w:ind w:left="288"/>
              <w:jc w:val="center"/>
              <w:rPr>
                <w:rFonts w:asciiTheme="minorHAnsi" w:hAnsiTheme="minorHAnsi" w:cs="Times New Roman"/>
                <w:sz w:val="19"/>
                <w:szCs w:val="19"/>
              </w:rPr>
            </w:pPr>
          </w:p>
        </w:tc>
        <w:tc>
          <w:tcPr>
            <w:tcW w:w="9810" w:type="dxa"/>
          </w:tcPr>
          <w:p w14:paraId="197368F6" w14:textId="6B1504D9" w:rsidR="00CA7477" w:rsidRPr="00DB3D14" w:rsidRDefault="00CA7477" w:rsidP="00875923">
            <w:pPr>
              <w:rPr>
                <w:rFonts w:asciiTheme="minorHAnsi" w:hAnsiTheme="minorHAnsi"/>
                <w:color w:val="auto"/>
                <w:sz w:val="19"/>
                <w:szCs w:val="19"/>
              </w:rPr>
            </w:pPr>
            <w:r w:rsidRPr="00DB3D14">
              <w:rPr>
                <w:rFonts w:asciiTheme="minorHAnsi" w:hAnsiTheme="minorHAnsi"/>
                <w:color w:val="auto"/>
                <w:sz w:val="19"/>
                <w:szCs w:val="19"/>
              </w:rPr>
              <w:t>Fourteen states are participating in the Aligning the Education and Training Pipeline to the Needs of the Economy</w:t>
            </w:r>
            <w:r w:rsidRPr="00DB3D14">
              <w:rPr>
                <w:rFonts w:asciiTheme="minorHAnsi" w:hAnsiTheme="minorHAnsi"/>
                <w:i/>
                <w:color w:val="auto"/>
                <w:sz w:val="19"/>
                <w:szCs w:val="19"/>
              </w:rPr>
              <w:t xml:space="preserve"> </w:t>
            </w:r>
            <w:r>
              <w:rPr>
                <w:rFonts w:asciiTheme="minorHAnsi" w:hAnsiTheme="minorHAnsi"/>
                <w:color w:val="auto"/>
                <w:sz w:val="19"/>
                <w:szCs w:val="19"/>
              </w:rPr>
              <w:t>P</w:t>
            </w:r>
            <w:r w:rsidRPr="00DB3D14">
              <w:rPr>
                <w:rFonts w:asciiTheme="minorHAnsi" w:hAnsiTheme="minorHAnsi"/>
                <w:color w:val="auto"/>
                <w:sz w:val="19"/>
                <w:szCs w:val="19"/>
              </w:rPr>
              <w:t>olicy academy and as part of that academy</w:t>
            </w:r>
            <w:r>
              <w:rPr>
                <w:rFonts w:asciiTheme="minorHAnsi" w:hAnsiTheme="minorHAnsi"/>
                <w:color w:val="auto"/>
                <w:sz w:val="19"/>
                <w:szCs w:val="19"/>
              </w:rPr>
              <w:t>, NGA</w:t>
            </w:r>
            <w:r w:rsidRPr="00DB3D14">
              <w:rPr>
                <w:rFonts w:asciiTheme="minorHAnsi" w:hAnsiTheme="minorHAnsi"/>
                <w:color w:val="auto"/>
                <w:sz w:val="19"/>
                <w:szCs w:val="19"/>
              </w:rPr>
              <w:t xml:space="preserve"> is developing a</w:t>
            </w:r>
            <w:r w:rsidRPr="00DB3D14">
              <w:rPr>
                <w:rFonts w:asciiTheme="minorHAnsi" w:hAnsiTheme="minorHAnsi"/>
                <w:b/>
                <w:color w:val="auto"/>
                <w:sz w:val="19"/>
                <w:szCs w:val="19"/>
              </w:rPr>
              <w:t xml:space="preserve"> </w:t>
            </w:r>
            <w:r w:rsidRPr="00DB3D14">
              <w:rPr>
                <w:rFonts w:asciiTheme="minorHAnsi" w:hAnsiTheme="minorHAnsi"/>
                <w:b/>
                <w:i/>
                <w:color w:val="auto"/>
                <w:sz w:val="19"/>
                <w:szCs w:val="19"/>
              </w:rPr>
              <w:t>State Policy Guide on Identifying Credentials of Value.</w:t>
            </w:r>
            <w:hyperlink r:id="rId40">
              <w:r w:rsidRPr="00DB3D14">
                <w:rPr>
                  <w:rFonts w:asciiTheme="minorHAnsi" w:hAnsiTheme="minorHAnsi"/>
                  <w:b/>
                  <w:color w:val="auto"/>
                  <w:sz w:val="19"/>
                  <w:szCs w:val="19"/>
                </w:rPr>
                <w:t xml:space="preserve"> </w:t>
              </w:r>
            </w:hyperlink>
            <w:hyperlink r:id="rId41">
              <w:r w:rsidRPr="00DB3D14">
                <w:rPr>
                  <w:rFonts w:asciiTheme="minorHAnsi" w:hAnsiTheme="minorHAnsi"/>
                  <w:color w:val="auto"/>
                  <w:sz w:val="19"/>
                  <w:szCs w:val="19"/>
                  <w:u w:val="single"/>
                </w:rPr>
                <w:t>http://www.nga.org/cms/home/nga-center-for-best-practices/meeting--webcast-materials/page-edu-meetings-webcasts/col2-content/main-content-list/nga-talent-pipeline-policy-acade.html</w:t>
              </w:r>
            </w:hyperlink>
          </w:p>
        </w:tc>
        <w:tc>
          <w:tcPr>
            <w:tcW w:w="2250" w:type="dxa"/>
          </w:tcPr>
          <w:p w14:paraId="7B8E56D1" w14:textId="77777777" w:rsidR="00CA7477" w:rsidRPr="00DB3D14" w:rsidRDefault="00CA7477" w:rsidP="0099185D">
            <w:pPr>
              <w:jc w:val="center"/>
              <w:rPr>
                <w:rFonts w:asciiTheme="minorHAnsi" w:hAnsiTheme="minorHAnsi"/>
                <w:sz w:val="19"/>
                <w:szCs w:val="19"/>
              </w:rPr>
            </w:pPr>
            <w:r w:rsidRPr="00DB3D14">
              <w:rPr>
                <w:rFonts w:asciiTheme="minorHAnsi" w:hAnsiTheme="minorHAnsi"/>
                <w:sz w:val="19"/>
                <w:szCs w:val="19"/>
              </w:rPr>
              <w:t>National Governor Association Center for Best Practices</w:t>
            </w:r>
          </w:p>
        </w:tc>
      </w:tr>
      <w:tr w:rsidR="00CA7477" w14:paraId="3533B816" w14:textId="77777777" w:rsidTr="00210234">
        <w:tc>
          <w:tcPr>
            <w:tcW w:w="1710" w:type="dxa"/>
            <w:vMerge/>
            <w:tcBorders>
              <w:right w:val="single" w:sz="8" w:space="0" w:color="000000"/>
            </w:tcBorders>
            <w:shd w:val="clear" w:color="auto" w:fill="F2DBDB" w:themeFill="accent2" w:themeFillTint="33"/>
          </w:tcPr>
          <w:p w14:paraId="4FEA9B7E" w14:textId="77777777" w:rsidR="00CA7477" w:rsidRPr="00A007DE" w:rsidRDefault="00CA7477">
            <w:pPr>
              <w:rPr>
                <w:sz w:val="20"/>
                <w:szCs w:val="20"/>
              </w:rPr>
            </w:pPr>
          </w:p>
        </w:tc>
        <w:tc>
          <w:tcPr>
            <w:tcW w:w="540" w:type="dxa"/>
            <w:tcBorders>
              <w:left w:val="single" w:sz="8" w:space="0" w:color="000000"/>
            </w:tcBorders>
          </w:tcPr>
          <w:p w14:paraId="765C2236" w14:textId="3F2EC7A1" w:rsidR="00CA7477" w:rsidRPr="00DB3D14" w:rsidRDefault="00CA7477" w:rsidP="005E223B">
            <w:pPr>
              <w:pStyle w:val="ListParagraph"/>
              <w:numPr>
                <w:ilvl w:val="0"/>
                <w:numId w:val="37"/>
              </w:numPr>
              <w:ind w:left="288"/>
              <w:jc w:val="center"/>
              <w:rPr>
                <w:rFonts w:asciiTheme="minorHAnsi" w:eastAsia="Times New Roman" w:hAnsiTheme="minorHAnsi" w:cs="Times New Roman"/>
                <w:sz w:val="19"/>
                <w:szCs w:val="19"/>
              </w:rPr>
            </w:pPr>
          </w:p>
        </w:tc>
        <w:tc>
          <w:tcPr>
            <w:tcW w:w="9810" w:type="dxa"/>
          </w:tcPr>
          <w:p w14:paraId="3894A869" w14:textId="0BE3F478" w:rsidR="00CA7477" w:rsidRPr="002A703D" w:rsidRDefault="002A703D" w:rsidP="002A703D">
            <w:pPr>
              <w:spacing w:after="120"/>
              <w:rPr>
                <w:sz w:val="19"/>
                <w:szCs w:val="19"/>
              </w:rPr>
            </w:pPr>
            <w:r w:rsidRPr="002A703D">
              <w:rPr>
                <w:b/>
                <w:iCs/>
                <w:sz w:val="19"/>
                <w:szCs w:val="19"/>
                <w:bdr w:val="none" w:sz="0" w:space="0" w:color="auto" w:frame="1"/>
              </w:rPr>
              <w:t>Essential Competencies Project</w:t>
            </w:r>
            <w:r w:rsidRPr="002A703D">
              <w:rPr>
                <w:i/>
                <w:iCs/>
                <w:sz w:val="19"/>
                <w:szCs w:val="19"/>
                <w:bdr w:val="none" w:sz="0" w:space="0" w:color="auto" w:frame="1"/>
              </w:rPr>
              <w:t xml:space="preserve"> –</w:t>
            </w:r>
            <w:r w:rsidRPr="002A703D">
              <w:rPr>
                <w:sz w:val="19"/>
                <w:szCs w:val="19"/>
              </w:rPr>
              <w:t xml:space="preserve"> Led by the Committee for Economic Development, this project is a four-year study of competency-based hiring by a select group of businesses. Many employers are uncertain about the skills and knowledge that predict job performance and lack reliable ways of assessing applicant skills. As a result, employers rely instead on educational attainment as a predictor of how well qualified the applicant is. This study is examining the feasibility and efficacy of competency-based hiring and potentially provide a “proof of concept” for this innovation. </w:t>
            </w:r>
            <w:hyperlink r:id="rId42" w:history="1">
              <w:r w:rsidRPr="002A703D">
                <w:rPr>
                  <w:color w:val="F78F1E"/>
                  <w:sz w:val="19"/>
                  <w:szCs w:val="19"/>
                  <w:u w:val="single"/>
                </w:rPr>
                <w:t>https://www.ced.org/projects/single/essential-competencies-project/all</w:t>
              </w:r>
            </w:hyperlink>
          </w:p>
        </w:tc>
        <w:tc>
          <w:tcPr>
            <w:tcW w:w="2250" w:type="dxa"/>
          </w:tcPr>
          <w:p w14:paraId="3A0D8F00" w14:textId="3799DB5F" w:rsidR="00CA7477" w:rsidRPr="00DB3D14" w:rsidRDefault="00CA7477" w:rsidP="00595099">
            <w:pPr>
              <w:jc w:val="center"/>
              <w:rPr>
                <w:rFonts w:asciiTheme="minorHAnsi" w:hAnsiTheme="minorHAnsi"/>
                <w:color w:val="auto"/>
                <w:sz w:val="19"/>
                <w:szCs w:val="19"/>
              </w:rPr>
            </w:pPr>
            <w:r w:rsidRPr="00DB3D14">
              <w:rPr>
                <w:rFonts w:asciiTheme="minorHAnsi" w:hAnsiTheme="minorHAnsi"/>
                <w:sz w:val="19"/>
                <w:szCs w:val="19"/>
              </w:rPr>
              <w:t xml:space="preserve">Committee on Economic Development </w:t>
            </w:r>
          </w:p>
        </w:tc>
      </w:tr>
      <w:tr w:rsidR="00CA7477" w14:paraId="67209669" w14:textId="77777777" w:rsidTr="00210234">
        <w:tc>
          <w:tcPr>
            <w:tcW w:w="1710" w:type="dxa"/>
            <w:vMerge w:val="restart"/>
            <w:shd w:val="clear" w:color="auto" w:fill="F2DBDB" w:themeFill="accent2" w:themeFillTint="33"/>
          </w:tcPr>
          <w:p w14:paraId="6872332D" w14:textId="77777777" w:rsidR="00CA7477" w:rsidRPr="00A007DE" w:rsidRDefault="00CA7477">
            <w:pPr>
              <w:rPr>
                <w:rFonts w:asciiTheme="minorHAnsi" w:eastAsia="Times New Roman" w:hAnsiTheme="minorHAnsi" w:cs="Times New Roman"/>
                <w:sz w:val="20"/>
                <w:szCs w:val="20"/>
              </w:rPr>
            </w:pPr>
          </w:p>
          <w:p w14:paraId="137674AE" w14:textId="77777777" w:rsidR="00CA7477" w:rsidRDefault="00CA7477">
            <w:pPr>
              <w:rPr>
                <w:rFonts w:asciiTheme="minorHAnsi" w:eastAsia="Times New Roman" w:hAnsiTheme="minorHAnsi" w:cs="Times New Roman"/>
                <w:sz w:val="20"/>
                <w:szCs w:val="20"/>
              </w:rPr>
            </w:pPr>
          </w:p>
          <w:p w14:paraId="41D6C780" w14:textId="77777777" w:rsidR="00CA7477" w:rsidRDefault="00CA7477">
            <w:pPr>
              <w:rPr>
                <w:rFonts w:asciiTheme="minorHAnsi" w:eastAsia="Times New Roman" w:hAnsiTheme="minorHAnsi" w:cs="Times New Roman"/>
                <w:sz w:val="20"/>
                <w:szCs w:val="20"/>
              </w:rPr>
            </w:pPr>
          </w:p>
          <w:p w14:paraId="72452484" w14:textId="77777777" w:rsidR="00CA7477" w:rsidRDefault="00CA7477">
            <w:pPr>
              <w:rPr>
                <w:rFonts w:asciiTheme="minorHAnsi" w:eastAsia="Times New Roman" w:hAnsiTheme="minorHAnsi" w:cs="Times New Roman"/>
                <w:sz w:val="20"/>
                <w:szCs w:val="20"/>
              </w:rPr>
            </w:pPr>
          </w:p>
          <w:p w14:paraId="2FDA6BA2" w14:textId="14273C4C" w:rsidR="00CA7477" w:rsidRPr="00A007DE" w:rsidRDefault="00CA7477">
            <w:pPr>
              <w:rPr>
                <w:rFonts w:asciiTheme="minorHAnsi" w:hAnsiTheme="minorHAnsi"/>
                <w:sz w:val="20"/>
                <w:szCs w:val="20"/>
              </w:rPr>
            </w:pPr>
            <w:r w:rsidRPr="00A007DE">
              <w:rPr>
                <w:rFonts w:asciiTheme="minorHAnsi" w:eastAsia="Times New Roman" w:hAnsiTheme="minorHAnsi" w:cs="Times New Roman"/>
                <w:sz w:val="20"/>
                <w:szCs w:val="20"/>
              </w:rPr>
              <w:t>Industry-education partnerships to promote relevance and currency of educational programs and work-based learning</w:t>
            </w:r>
          </w:p>
          <w:p w14:paraId="69600203" w14:textId="77777777" w:rsidR="00CA7477" w:rsidRPr="00A007DE" w:rsidRDefault="00CA7477">
            <w:pPr>
              <w:rPr>
                <w:sz w:val="20"/>
                <w:szCs w:val="20"/>
              </w:rPr>
            </w:pPr>
          </w:p>
          <w:p w14:paraId="233A16F7" w14:textId="77777777" w:rsidR="00CA7477" w:rsidRPr="00A007DE" w:rsidRDefault="00CA7477">
            <w:pPr>
              <w:rPr>
                <w:sz w:val="20"/>
                <w:szCs w:val="20"/>
              </w:rPr>
            </w:pPr>
          </w:p>
          <w:p w14:paraId="068FCE76" w14:textId="77777777" w:rsidR="00CA7477" w:rsidRPr="00A007DE" w:rsidRDefault="00CA7477" w:rsidP="00D74B46">
            <w:pPr>
              <w:rPr>
                <w:sz w:val="20"/>
                <w:szCs w:val="20"/>
              </w:rPr>
            </w:pPr>
          </w:p>
        </w:tc>
        <w:tc>
          <w:tcPr>
            <w:tcW w:w="540" w:type="dxa"/>
          </w:tcPr>
          <w:p w14:paraId="55F03858" w14:textId="25377AD2" w:rsidR="00CA7477" w:rsidRPr="00CF5CBD" w:rsidRDefault="00CA7477" w:rsidP="005E223B">
            <w:pPr>
              <w:pStyle w:val="ListParagraph"/>
              <w:numPr>
                <w:ilvl w:val="0"/>
                <w:numId w:val="37"/>
              </w:numPr>
              <w:ind w:left="288"/>
              <w:jc w:val="center"/>
              <w:rPr>
                <w:rFonts w:asciiTheme="minorHAnsi" w:eastAsia="Times New Roman" w:hAnsiTheme="minorHAnsi" w:cs="Times New Roman"/>
                <w:b/>
                <w:sz w:val="19"/>
                <w:szCs w:val="19"/>
              </w:rPr>
            </w:pPr>
          </w:p>
        </w:tc>
        <w:tc>
          <w:tcPr>
            <w:tcW w:w="9810" w:type="dxa"/>
          </w:tcPr>
          <w:p w14:paraId="6AB1C1F7" w14:textId="4A434D9E" w:rsidR="00CA7477" w:rsidRPr="00CF5CBD" w:rsidRDefault="00CA7477" w:rsidP="00A96F04">
            <w:pPr>
              <w:rPr>
                <w:rFonts w:asciiTheme="minorHAnsi" w:hAnsiTheme="minorHAnsi"/>
                <w:color w:val="auto"/>
                <w:sz w:val="19"/>
                <w:szCs w:val="19"/>
              </w:rPr>
            </w:pPr>
            <w:r w:rsidRPr="00CF5CBD">
              <w:rPr>
                <w:rFonts w:asciiTheme="minorHAnsi" w:eastAsia="Times New Roman" w:hAnsiTheme="minorHAnsi" w:cs="Times New Roman"/>
                <w:color w:val="auto"/>
                <w:sz w:val="19"/>
                <w:szCs w:val="19"/>
              </w:rPr>
              <w:t xml:space="preserve">Focuses on  developing </w:t>
            </w:r>
            <w:r w:rsidRPr="00CF5CBD">
              <w:rPr>
                <w:rFonts w:asciiTheme="minorHAnsi" w:eastAsia="Times New Roman" w:hAnsiTheme="minorHAnsi" w:cs="Times New Roman"/>
                <w:b/>
                <w:color w:val="auto"/>
                <w:sz w:val="19"/>
                <w:szCs w:val="19"/>
              </w:rPr>
              <w:t>pathways to achieve high skill workforce outcomes in high demand and emerging fields</w:t>
            </w:r>
          </w:p>
        </w:tc>
        <w:tc>
          <w:tcPr>
            <w:tcW w:w="2250" w:type="dxa"/>
          </w:tcPr>
          <w:p w14:paraId="406B1565" w14:textId="1786B851" w:rsidR="00CA7477" w:rsidRPr="00CF5CBD" w:rsidRDefault="00CA7477" w:rsidP="0099185D">
            <w:pPr>
              <w:jc w:val="center"/>
              <w:rPr>
                <w:rFonts w:asciiTheme="minorHAnsi" w:hAnsiTheme="minorHAnsi"/>
                <w:color w:val="auto"/>
                <w:sz w:val="19"/>
                <w:szCs w:val="19"/>
              </w:rPr>
            </w:pPr>
            <w:r w:rsidRPr="00CF5CBD">
              <w:rPr>
                <w:rFonts w:asciiTheme="minorHAnsi" w:hAnsiTheme="minorHAnsi"/>
                <w:color w:val="auto"/>
                <w:sz w:val="19"/>
                <w:szCs w:val="19"/>
              </w:rPr>
              <w:t>Business Higher Education Forum</w:t>
            </w:r>
          </w:p>
        </w:tc>
      </w:tr>
      <w:tr w:rsidR="00CA7477" w14:paraId="0EAA1E0A" w14:textId="77777777" w:rsidTr="00210234">
        <w:tc>
          <w:tcPr>
            <w:tcW w:w="1710" w:type="dxa"/>
            <w:vMerge/>
            <w:shd w:val="clear" w:color="auto" w:fill="F2DBDB" w:themeFill="accent2" w:themeFillTint="33"/>
          </w:tcPr>
          <w:p w14:paraId="7E87841A" w14:textId="77777777" w:rsidR="00CA7477" w:rsidRPr="00A007DE" w:rsidRDefault="00CA7477">
            <w:pPr>
              <w:rPr>
                <w:sz w:val="20"/>
                <w:szCs w:val="20"/>
              </w:rPr>
            </w:pPr>
          </w:p>
        </w:tc>
        <w:tc>
          <w:tcPr>
            <w:tcW w:w="540" w:type="dxa"/>
          </w:tcPr>
          <w:p w14:paraId="2FE3CEA2" w14:textId="77777777" w:rsidR="00CA7477" w:rsidRPr="00CF5CBD" w:rsidRDefault="00CA7477" w:rsidP="005E223B">
            <w:pPr>
              <w:pStyle w:val="ListParagraph"/>
              <w:numPr>
                <w:ilvl w:val="0"/>
                <w:numId w:val="37"/>
              </w:numPr>
              <w:ind w:left="288"/>
              <w:jc w:val="center"/>
              <w:rPr>
                <w:rFonts w:asciiTheme="minorHAnsi" w:eastAsia="Times New Roman" w:hAnsiTheme="minorHAnsi" w:cs="Times New Roman"/>
                <w:b/>
                <w:sz w:val="19"/>
                <w:szCs w:val="19"/>
              </w:rPr>
            </w:pPr>
          </w:p>
        </w:tc>
        <w:tc>
          <w:tcPr>
            <w:tcW w:w="9810" w:type="dxa"/>
          </w:tcPr>
          <w:p w14:paraId="517AF9FD" w14:textId="6D353ABD" w:rsidR="00CA7477" w:rsidRPr="00CF5CBD" w:rsidRDefault="00CA7477" w:rsidP="00801CE4">
            <w:pPr>
              <w:rPr>
                <w:rFonts w:asciiTheme="minorHAnsi" w:eastAsia="Times New Roman" w:hAnsiTheme="minorHAnsi" w:cs="Times New Roman"/>
                <w:color w:val="auto"/>
                <w:sz w:val="19"/>
                <w:szCs w:val="19"/>
              </w:rPr>
            </w:pPr>
            <w:r w:rsidRPr="00CF5CBD">
              <w:rPr>
                <w:rFonts w:asciiTheme="minorHAnsi" w:eastAsia="Times New Roman" w:hAnsiTheme="minorHAnsi" w:cs="Times New Roman"/>
                <w:b/>
                <w:color w:val="auto"/>
                <w:sz w:val="19"/>
                <w:szCs w:val="19"/>
              </w:rPr>
              <w:t>Trade Adjustment Assistance Community College and Career Training (TAACCCT) grants</w:t>
            </w:r>
            <w:r w:rsidRPr="00CF5CBD">
              <w:rPr>
                <w:rFonts w:asciiTheme="minorHAnsi" w:eastAsia="Times New Roman" w:hAnsiTheme="minorHAnsi" w:cs="Times New Roman"/>
                <w:color w:val="auto"/>
                <w:sz w:val="19"/>
                <w:szCs w:val="19"/>
              </w:rPr>
              <w:t xml:space="preserve"> are supporting capacity-building to spur innovation and  development of model training programs at community colleges and universities, including fully engaging employers and industry organizations in curriculum development; career pathway development; and defining and mapping competencies, credentials and work-based training and hiring. </w:t>
            </w:r>
            <w:hyperlink r:id="rId43">
              <w:r w:rsidRPr="00CF5CBD">
                <w:rPr>
                  <w:rFonts w:asciiTheme="minorHAnsi" w:eastAsia="Times New Roman" w:hAnsiTheme="minorHAnsi" w:cs="Times New Roman"/>
                  <w:color w:val="auto"/>
                  <w:sz w:val="19"/>
                  <w:szCs w:val="19"/>
                  <w:u w:val="single"/>
                </w:rPr>
                <w:t>http://www.doleta.gov/taaccct/applicantinfo.cfm</w:t>
              </w:r>
            </w:hyperlink>
            <w:r w:rsidRPr="00CF5CBD">
              <w:rPr>
                <w:rFonts w:asciiTheme="minorHAnsi" w:eastAsia="Times New Roman" w:hAnsiTheme="minorHAnsi" w:cs="Times New Roman"/>
                <w:color w:val="auto"/>
                <w:sz w:val="19"/>
                <w:szCs w:val="19"/>
              </w:rPr>
              <w:t xml:space="preserve"> </w:t>
            </w:r>
          </w:p>
        </w:tc>
        <w:tc>
          <w:tcPr>
            <w:tcW w:w="2250" w:type="dxa"/>
          </w:tcPr>
          <w:p w14:paraId="75D53048" w14:textId="35BCB7C8" w:rsidR="00CA7477" w:rsidRPr="00CF5CBD" w:rsidRDefault="00CA7477" w:rsidP="0099185D">
            <w:pPr>
              <w:jc w:val="center"/>
              <w:rPr>
                <w:rFonts w:asciiTheme="minorHAnsi" w:hAnsiTheme="minorHAnsi"/>
                <w:color w:val="auto"/>
                <w:sz w:val="19"/>
                <w:szCs w:val="19"/>
              </w:rPr>
            </w:pPr>
            <w:r w:rsidRPr="00CF5CBD">
              <w:rPr>
                <w:rFonts w:asciiTheme="minorHAnsi" w:eastAsia="Times New Roman" w:hAnsiTheme="minorHAnsi" w:cs="Times New Roman"/>
                <w:sz w:val="19"/>
                <w:szCs w:val="19"/>
              </w:rPr>
              <w:t>U.S. Department of Labor</w:t>
            </w:r>
          </w:p>
        </w:tc>
      </w:tr>
      <w:tr w:rsidR="00CA7477" w14:paraId="277EE619" w14:textId="77777777" w:rsidTr="00210234">
        <w:tc>
          <w:tcPr>
            <w:tcW w:w="1710" w:type="dxa"/>
            <w:vMerge/>
            <w:shd w:val="clear" w:color="auto" w:fill="F2DBDB" w:themeFill="accent2" w:themeFillTint="33"/>
          </w:tcPr>
          <w:p w14:paraId="44FF6C3A" w14:textId="77777777" w:rsidR="00CA7477" w:rsidRPr="00A007DE" w:rsidRDefault="00CA7477">
            <w:pPr>
              <w:rPr>
                <w:sz w:val="20"/>
                <w:szCs w:val="20"/>
              </w:rPr>
            </w:pPr>
          </w:p>
        </w:tc>
        <w:tc>
          <w:tcPr>
            <w:tcW w:w="540" w:type="dxa"/>
          </w:tcPr>
          <w:p w14:paraId="15E7B527" w14:textId="77777777" w:rsidR="00CA7477" w:rsidRPr="00CF5CBD" w:rsidRDefault="00CA7477" w:rsidP="005E223B">
            <w:pPr>
              <w:pStyle w:val="ListParagraph"/>
              <w:numPr>
                <w:ilvl w:val="0"/>
                <w:numId w:val="37"/>
              </w:numPr>
              <w:ind w:left="288"/>
              <w:jc w:val="center"/>
              <w:rPr>
                <w:rFonts w:asciiTheme="minorHAnsi" w:eastAsia="Times New Roman" w:hAnsiTheme="minorHAnsi" w:cs="Times New Roman"/>
                <w:b/>
                <w:sz w:val="19"/>
                <w:szCs w:val="19"/>
              </w:rPr>
            </w:pPr>
          </w:p>
        </w:tc>
        <w:tc>
          <w:tcPr>
            <w:tcW w:w="9810" w:type="dxa"/>
          </w:tcPr>
          <w:p w14:paraId="751D68F7" w14:textId="3B9266CF" w:rsidR="00CA7477" w:rsidRPr="00CF5CBD" w:rsidRDefault="00CA7477" w:rsidP="00A96F04">
            <w:pPr>
              <w:rPr>
                <w:rFonts w:asciiTheme="minorHAnsi" w:eastAsia="Times New Roman" w:hAnsiTheme="minorHAnsi" w:cs="Times New Roman"/>
                <w:color w:val="auto"/>
                <w:sz w:val="19"/>
                <w:szCs w:val="19"/>
              </w:rPr>
            </w:pPr>
            <w:r w:rsidRPr="00CF5CBD">
              <w:rPr>
                <w:rFonts w:asciiTheme="minorHAnsi" w:eastAsia="Times New Roman" w:hAnsiTheme="minorHAnsi" w:cs="Times New Roman"/>
                <w:b/>
                <w:color w:val="auto"/>
                <w:sz w:val="19"/>
                <w:szCs w:val="19"/>
              </w:rPr>
              <w:t>Talent Pipeline</w:t>
            </w:r>
            <w:r w:rsidR="009F0262">
              <w:rPr>
                <w:rFonts w:asciiTheme="minorHAnsi" w:eastAsia="Times New Roman" w:hAnsiTheme="minorHAnsi" w:cs="Times New Roman"/>
                <w:b/>
                <w:color w:val="auto"/>
                <w:sz w:val="19"/>
                <w:szCs w:val="19"/>
              </w:rPr>
              <w:t xml:space="preserve"> Management</w:t>
            </w:r>
            <w:r w:rsidR="009F0262" w:rsidRPr="00080127">
              <w:rPr>
                <w:i/>
                <w:color w:val="000000" w:themeColor="text1"/>
              </w:rPr>
              <w:t xml:space="preserve"> </w:t>
            </w:r>
            <w:r w:rsidR="009F0262">
              <w:rPr>
                <w:i/>
                <w:color w:val="000000" w:themeColor="text1"/>
              </w:rPr>
              <w:t xml:space="preserve">- </w:t>
            </w:r>
            <w:r w:rsidR="009F0262" w:rsidRPr="009F0262">
              <w:rPr>
                <w:rFonts w:cs="Arial"/>
                <w:color w:val="000000" w:themeColor="text1"/>
                <w:sz w:val="19"/>
                <w:szCs w:val="19"/>
                <w:shd w:val="clear" w:color="auto" w:fill="FFFFFF"/>
              </w:rPr>
              <w:t xml:space="preserve">The U.S. Chamber of Commerce Foundation is exploring an employer-led, complementary form of accreditation in higher education to help close the skills gap in America. </w:t>
            </w:r>
            <w:r w:rsidR="009F0262" w:rsidRPr="009F0262">
              <w:rPr>
                <w:rFonts w:cs="Arial"/>
                <w:color w:val="000000" w:themeColor="text1"/>
                <w:sz w:val="19"/>
                <w:szCs w:val="19"/>
              </w:rPr>
              <w:t xml:space="preserve">This effort calls for stronger involvement of the employer community in the governance of existing accrediting agencies and for employers to develop a complementary system, led by the business community that recognizes and endorses programs based on their ability to prepare a career-ready workforce. </w:t>
            </w:r>
            <w:hyperlink r:id="rId44" w:history="1">
              <w:r w:rsidR="009F0262" w:rsidRPr="009F0262">
                <w:rPr>
                  <w:color w:val="F78F1E"/>
                  <w:sz w:val="19"/>
                  <w:szCs w:val="19"/>
                  <w:u w:val="single"/>
                </w:rPr>
                <w:t>www.TheTalentSupplyChain.org</w:t>
              </w:r>
            </w:hyperlink>
          </w:p>
        </w:tc>
        <w:tc>
          <w:tcPr>
            <w:tcW w:w="2250" w:type="dxa"/>
          </w:tcPr>
          <w:p w14:paraId="0450B6BB" w14:textId="67F8D55B" w:rsidR="00CA7477" w:rsidRPr="00CF5CBD" w:rsidRDefault="00CA7477" w:rsidP="0099185D">
            <w:pPr>
              <w:jc w:val="center"/>
              <w:rPr>
                <w:rFonts w:asciiTheme="minorHAnsi" w:hAnsiTheme="minorHAnsi"/>
                <w:color w:val="auto"/>
                <w:sz w:val="19"/>
                <w:szCs w:val="19"/>
              </w:rPr>
            </w:pPr>
            <w:r>
              <w:rPr>
                <w:rFonts w:asciiTheme="minorHAnsi" w:hAnsiTheme="minorHAnsi"/>
                <w:color w:val="auto"/>
                <w:sz w:val="19"/>
                <w:szCs w:val="19"/>
              </w:rPr>
              <w:t>U.S. Chamber of Commerce Foundation</w:t>
            </w:r>
          </w:p>
        </w:tc>
      </w:tr>
      <w:tr w:rsidR="00CA7477" w14:paraId="48F59BDA" w14:textId="77777777" w:rsidTr="00210234">
        <w:tc>
          <w:tcPr>
            <w:tcW w:w="1710" w:type="dxa"/>
            <w:vMerge/>
            <w:shd w:val="clear" w:color="auto" w:fill="F2DBDB" w:themeFill="accent2" w:themeFillTint="33"/>
          </w:tcPr>
          <w:p w14:paraId="6837285D" w14:textId="77777777" w:rsidR="00CA7477" w:rsidRPr="00A007DE" w:rsidRDefault="00CA7477" w:rsidP="00D74B46">
            <w:pPr>
              <w:rPr>
                <w:sz w:val="20"/>
                <w:szCs w:val="20"/>
              </w:rPr>
            </w:pPr>
          </w:p>
        </w:tc>
        <w:tc>
          <w:tcPr>
            <w:tcW w:w="540" w:type="dxa"/>
          </w:tcPr>
          <w:p w14:paraId="2714590B" w14:textId="5C6F7E5D" w:rsidR="00CA7477" w:rsidRPr="00CF5CBD" w:rsidRDefault="00CA7477" w:rsidP="005E223B">
            <w:pPr>
              <w:pStyle w:val="ListParagraph"/>
              <w:numPr>
                <w:ilvl w:val="0"/>
                <w:numId w:val="37"/>
              </w:numPr>
              <w:ind w:left="288"/>
              <w:jc w:val="center"/>
              <w:rPr>
                <w:rFonts w:asciiTheme="minorHAnsi" w:eastAsia="Times New Roman" w:hAnsiTheme="minorHAnsi" w:cs="Times New Roman"/>
                <w:b/>
                <w:sz w:val="19"/>
                <w:szCs w:val="19"/>
              </w:rPr>
            </w:pPr>
          </w:p>
        </w:tc>
        <w:tc>
          <w:tcPr>
            <w:tcW w:w="9810" w:type="dxa"/>
          </w:tcPr>
          <w:p w14:paraId="30A6B6AD" w14:textId="0A5A8C86" w:rsidR="00CA7477" w:rsidRPr="00CF5CBD" w:rsidRDefault="00CA7477" w:rsidP="00E44D97">
            <w:pPr>
              <w:rPr>
                <w:rFonts w:asciiTheme="minorHAnsi" w:hAnsiTheme="minorHAnsi"/>
                <w:color w:val="auto"/>
                <w:sz w:val="19"/>
                <w:szCs w:val="19"/>
              </w:rPr>
            </w:pPr>
            <w:r w:rsidRPr="00CF5CBD">
              <w:rPr>
                <w:rFonts w:asciiTheme="minorHAnsi" w:eastAsia="Times New Roman" w:hAnsiTheme="minorHAnsi" w:cs="Times New Roman"/>
                <w:b/>
                <w:color w:val="auto"/>
                <w:sz w:val="19"/>
                <w:szCs w:val="19"/>
              </w:rPr>
              <w:t xml:space="preserve">AT&amp;T/Udacity Nanodegree program </w:t>
            </w:r>
            <w:r w:rsidRPr="00CF5CBD">
              <w:rPr>
                <w:rFonts w:asciiTheme="minorHAnsi" w:hAnsiTheme="minorHAnsi"/>
                <w:b/>
                <w:color w:val="auto"/>
                <w:sz w:val="19"/>
                <w:szCs w:val="19"/>
              </w:rPr>
              <w:t>is</w:t>
            </w:r>
            <w:r w:rsidRPr="00CF5CBD">
              <w:rPr>
                <w:rFonts w:asciiTheme="minorHAnsi" w:eastAsia="Times New Roman" w:hAnsiTheme="minorHAnsi" w:cs="Times New Roman"/>
                <w:color w:val="auto"/>
                <w:sz w:val="19"/>
                <w:szCs w:val="19"/>
              </w:rPr>
              <w:t xml:space="preserve"> a Massive Open Online Course (MOOC). Nanodegree credentials will be awarded for mastery of entry-level software skills needed for high-demand jobs in the tech industry and fully recognized for entry-level software jobs at AT&amp;T.  AT&amp;T and Udacity are offering 1200 scholarships that will be distributed by local and national non-profit organizations in order to further ensure traditionally underserved students have access to these credentials.  Other leading tech companies, such as Google, are also creating Nanodegree programs with Udacity.  </w:t>
            </w:r>
            <w:hyperlink r:id="rId45">
              <w:r w:rsidRPr="00CF5CBD">
                <w:rPr>
                  <w:rFonts w:asciiTheme="minorHAnsi" w:eastAsia="Times New Roman" w:hAnsiTheme="minorHAnsi" w:cs="Times New Roman"/>
                  <w:color w:val="auto"/>
                  <w:sz w:val="19"/>
                  <w:szCs w:val="19"/>
                </w:rPr>
                <w:t>https://www.udacity.com/nanodegree</w:t>
              </w:r>
            </w:hyperlink>
          </w:p>
        </w:tc>
        <w:tc>
          <w:tcPr>
            <w:tcW w:w="2250" w:type="dxa"/>
          </w:tcPr>
          <w:p w14:paraId="06BAD7CE" w14:textId="77777777" w:rsidR="00CA7477" w:rsidRPr="00CF5CBD" w:rsidRDefault="00CA7477" w:rsidP="0099185D">
            <w:pPr>
              <w:jc w:val="center"/>
              <w:rPr>
                <w:rFonts w:asciiTheme="minorHAnsi" w:hAnsiTheme="minorHAnsi"/>
                <w:color w:val="auto"/>
                <w:sz w:val="19"/>
                <w:szCs w:val="19"/>
              </w:rPr>
            </w:pPr>
            <w:r w:rsidRPr="00CF5CBD">
              <w:rPr>
                <w:rFonts w:asciiTheme="minorHAnsi" w:eastAsia="Times New Roman" w:hAnsiTheme="minorHAnsi" w:cs="Times New Roman"/>
                <w:color w:val="auto"/>
                <w:sz w:val="19"/>
                <w:szCs w:val="19"/>
              </w:rPr>
              <w:t>AT&amp;T/ Udacity</w:t>
            </w:r>
          </w:p>
        </w:tc>
      </w:tr>
      <w:tr w:rsidR="00CA7477" w14:paraId="46BCC791" w14:textId="77777777" w:rsidTr="00210234">
        <w:tc>
          <w:tcPr>
            <w:tcW w:w="1710" w:type="dxa"/>
            <w:vMerge/>
            <w:shd w:val="clear" w:color="auto" w:fill="F2DBDB" w:themeFill="accent2" w:themeFillTint="33"/>
          </w:tcPr>
          <w:p w14:paraId="7D9D3A7B" w14:textId="77777777" w:rsidR="00CA7477" w:rsidRPr="00A007DE" w:rsidRDefault="00CA7477" w:rsidP="00D74B46">
            <w:pPr>
              <w:rPr>
                <w:sz w:val="20"/>
                <w:szCs w:val="20"/>
              </w:rPr>
            </w:pPr>
          </w:p>
        </w:tc>
        <w:tc>
          <w:tcPr>
            <w:tcW w:w="540" w:type="dxa"/>
          </w:tcPr>
          <w:p w14:paraId="13D97726" w14:textId="77777777" w:rsidR="00CA7477" w:rsidRPr="00CF5CBD" w:rsidRDefault="00CA7477" w:rsidP="005E223B">
            <w:pPr>
              <w:pStyle w:val="ListParagraph"/>
              <w:numPr>
                <w:ilvl w:val="0"/>
                <w:numId w:val="37"/>
              </w:numPr>
              <w:ind w:left="288"/>
              <w:jc w:val="center"/>
              <w:rPr>
                <w:rFonts w:asciiTheme="minorHAnsi" w:eastAsia="Times New Roman" w:hAnsiTheme="minorHAnsi" w:cs="Times New Roman"/>
                <w:b/>
                <w:sz w:val="19"/>
                <w:szCs w:val="19"/>
              </w:rPr>
            </w:pPr>
          </w:p>
        </w:tc>
        <w:tc>
          <w:tcPr>
            <w:tcW w:w="9810" w:type="dxa"/>
          </w:tcPr>
          <w:p w14:paraId="18BCA707" w14:textId="25FEA4E8" w:rsidR="00CA7477" w:rsidRPr="00CF5CBD" w:rsidRDefault="00CA7477" w:rsidP="00CC49A9">
            <w:pPr>
              <w:rPr>
                <w:rFonts w:asciiTheme="minorHAnsi" w:eastAsia="Times New Roman" w:hAnsiTheme="minorHAnsi" w:cs="Times New Roman"/>
                <w:b/>
                <w:color w:val="auto"/>
                <w:sz w:val="19"/>
                <w:szCs w:val="19"/>
              </w:rPr>
            </w:pPr>
            <w:r w:rsidRPr="00B4150E">
              <w:rPr>
                <w:rFonts w:asciiTheme="minorHAnsi" w:eastAsia="Times New Roman" w:hAnsiTheme="minorHAnsi" w:cs="Times New Roman"/>
                <w:color w:val="auto"/>
                <w:sz w:val="19"/>
                <w:szCs w:val="19"/>
              </w:rPr>
              <w:t>Industry-education partnership</w:t>
            </w:r>
            <w:r w:rsidRPr="00CF5CBD">
              <w:rPr>
                <w:rFonts w:asciiTheme="minorHAnsi" w:eastAsia="Times New Roman" w:hAnsiTheme="minorHAnsi" w:cs="Times New Roman"/>
                <w:b/>
                <w:color w:val="auto"/>
                <w:sz w:val="19"/>
                <w:szCs w:val="19"/>
              </w:rPr>
              <w:t xml:space="preserve"> </w:t>
            </w:r>
            <w:r w:rsidRPr="00CF5CBD">
              <w:rPr>
                <w:rFonts w:asciiTheme="minorHAnsi" w:eastAsia="Times New Roman" w:hAnsiTheme="minorHAnsi" w:cs="Times New Roman"/>
                <w:color w:val="auto"/>
                <w:sz w:val="19"/>
                <w:szCs w:val="19"/>
              </w:rPr>
              <w:t xml:space="preserve">that supports professional development </w:t>
            </w:r>
            <w:r>
              <w:rPr>
                <w:rFonts w:asciiTheme="minorHAnsi" w:eastAsia="Times New Roman" w:hAnsiTheme="minorHAnsi" w:cs="Times New Roman"/>
                <w:color w:val="auto"/>
                <w:sz w:val="19"/>
                <w:szCs w:val="19"/>
              </w:rPr>
              <w:t xml:space="preserve">and </w:t>
            </w:r>
            <w:r w:rsidRPr="00CF5CBD">
              <w:rPr>
                <w:rFonts w:asciiTheme="minorHAnsi" w:eastAsia="Times New Roman" w:hAnsiTheme="minorHAnsi" w:cs="Times New Roman"/>
                <w:color w:val="auto"/>
                <w:sz w:val="19"/>
                <w:szCs w:val="19"/>
              </w:rPr>
              <w:t>curriculum development</w:t>
            </w:r>
            <w:r>
              <w:rPr>
                <w:rFonts w:asciiTheme="minorHAnsi" w:eastAsia="Times New Roman" w:hAnsiTheme="minorHAnsi" w:cs="Times New Roman"/>
                <w:color w:val="auto"/>
                <w:sz w:val="19"/>
                <w:szCs w:val="19"/>
              </w:rPr>
              <w:t xml:space="preserve"> in</w:t>
            </w:r>
            <w:r w:rsidRPr="00CF5CBD">
              <w:rPr>
                <w:rFonts w:asciiTheme="minorHAnsi" w:eastAsia="Times New Roman" w:hAnsiTheme="minorHAnsi" w:cs="Times New Roman"/>
                <w:color w:val="auto"/>
                <w:sz w:val="19"/>
                <w:szCs w:val="19"/>
              </w:rPr>
              <w:t xml:space="preserve"> community colleges and high schools leading to </w:t>
            </w:r>
            <w:r w:rsidRPr="00B4150E">
              <w:rPr>
                <w:rFonts w:asciiTheme="minorHAnsi" w:eastAsia="Times New Roman" w:hAnsiTheme="minorHAnsi" w:cs="Times New Roman"/>
                <w:b/>
                <w:color w:val="auto"/>
                <w:sz w:val="19"/>
                <w:szCs w:val="19"/>
              </w:rPr>
              <w:t>industry certification in the aviation, transportation, manufacturing and energy sectors</w:t>
            </w:r>
            <w:r w:rsidRPr="00CF5CBD">
              <w:rPr>
                <w:rFonts w:asciiTheme="minorHAnsi" w:eastAsia="Times New Roman" w:hAnsiTheme="minorHAnsi" w:cs="Times New Roman"/>
                <w:color w:val="auto"/>
                <w:sz w:val="19"/>
                <w:szCs w:val="19"/>
              </w:rPr>
              <w:t>. To date, over 4000 industry certifications have been issued by 375 educational institutions.</w:t>
            </w:r>
            <w:r w:rsidRPr="00CF5CBD">
              <w:rPr>
                <w:color w:val="auto"/>
                <w:sz w:val="19"/>
                <w:szCs w:val="19"/>
              </w:rPr>
              <w:t xml:space="preserve"> </w:t>
            </w:r>
            <w:hyperlink r:id="rId46" w:history="1">
              <w:r w:rsidRPr="00CF5CBD">
                <w:rPr>
                  <w:rStyle w:val="Hyperlink"/>
                  <w:color w:val="auto"/>
                  <w:sz w:val="19"/>
                  <w:szCs w:val="19"/>
                </w:rPr>
                <w:t>http://www.nc3.net/</w:t>
              </w:r>
            </w:hyperlink>
          </w:p>
        </w:tc>
        <w:tc>
          <w:tcPr>
            <w:tcW w:w="2250" w:type="dxa"/>
          </w:tcPr>
          <w:p w14:paraId="18607031" w14:textId="3B45E1CB" w:rsidR="00CA7477" w:rsidRPr="00CF5CBD" w:rsidRDefault="00CA7477" w:rsidP="00714121">
            <w:pPr>
              <w:jc w:val="center"/>
              <w:rPr>
                <w:rFonts w:asciiTheme="minorHAnsi" w:eastAsia="Times New Roman" w:hAnsiTheme="minorHAnsi" w:cs="Times New Roman"/>
                <w:color w:val="auto"/>
                <w:sz w:val="19"/>
                <w:szCs w:val="19"/>
              </w:rPr>
            </w:pPr>
            <w:r w:rsidRPr="00CF5CBD">
              <w:rPr>
                <w:rFonts w:asciiTheme="minorHAnsi" w:eastAsia="Times New Roman" w:hAnsiTheme="minorHAnsi" w:cs="Times New Roman"/>
                <w:color w:val="auto"/>
                <w:sz w:val="19"/>
                <w:szCs w:val="19"/>
              </w:rPr>
              <w:t xml:space="preserve">National Coalition of Certification Centers </w:t>
            </w:r>
          </w:p>
        </w:tc>
      </w:tr>
      <w:tr w:rsidR="003A3809" w14:paraId="5147DDD0" w14:textId="77777777" w:rsidTr="00210234">
        <w:tc>
          <w:tcPr>
            <w:tcW w:w="1710" w:type="dxa"/>
            <w:vMerge/>
            <w:shd w:val="clear" w:color="auto" w:fill="F2DBDB" w:themeFill="accent2" w:themeFillTint="33"/>
          </w:tcPr>
          <w:p w14:paraId="7808575D" w14:textId="77777777" w:rsidR="003A3809" w:rsidRPr="00A007DE" w:rsidRDefault="003A3809" w:rsidP="00D74B46">
            <w:pPr>
              <w:rPr>
                <w:sz w:val="20"/>
                <w:szCs w:val="20"/>
              </w:rPr>
            </w:pPr>
          </w:p>
        </w:tc>
        <w:tc>
          <w:tcPr>
            <w:tcW w:w="540" w:type="dxa"/>
          </w:tcPr>
          <w:p w14:paraId="730C8896" w14:textId="77777777" w:rsidR="003A3809" w:rsidRPr="00CF5CBD" w:rsidRDefault="003A3809" w:rsidP="005E223B">
            <w:pPr>
              <w:pStyle w:val="ListParagraph"/>
              <w:numPr>
                <w:ilvl w:val="0"/>
                <w:numId w:val="37"/>
              </w:numPr>
              <w:ind w:left="288"/>
              <w:jc w:val="center"/>
              <w:rPr>
                <w:rFonts w:asciiTheme="minorHAnsi" w:eastAsia="Times New Roman" w:hAnsiTheme="minorHAnsi" w:cs="Times New Roman"/>
                <w:b/>
                <w:sz w:val="19"/>
                <w:szCs w:val="19"/>
              </w:rPr>
            </w:pPr>
          </w:p>
        </w:tc>
        <w:tc>
          <w:tcPr>
            <w:tcW w:w="9810" w:type="dxa"/>
          </w:tcPr>
          <w:p w14:paraId="42E0E1CC" w14:textId="254AFC92" w:rsidR="003A3809" w:rsidRPr="003A3809" w:rsidRDefault="003A3809" w:rsidP="003A3809">
            <w:pPr>
              <w:spacing w:after="120"/>
              <w:rPr>
                <w:sz w:val="19"/>
                <w:szCs w:val="19"/>
              </w:rPr>
            </w:pPr>
            <w:r w:rsidRPr="003A3809">
              <w:rPr>
                <w:b/>
                <w:sz w:val="19"/>
                <w:szCs w:val="19"/>
              </w:rPr>
              <w:t>National Aviation Consortium CertTEC Certification</w:t>
            </w:r>
            <w:r w:rsidRPr="003A3809">
              <w:rPr>
                <w:i/>
                <w:sz w:val="19"/>
                <w:szCs w:val="19"/>
              </w:rPr>
              <w:t>-</w:t>
            </w:r>
            <w:r w:rsidRPr="003A3809">
              <w:rPr>
                <w:sz w:val="19"/>
                <w:szCs w:val="19"/>
              </w:rPr>
              <w:t xml:space="preserve"> This critical aviation certification, CertTEC Aviation Mechanical Assembly, is a comprehensive assessment of technician skills and knowledge in aviation manufacturing, such as drilling and riveting, sealing application, and electrical bonding and grounding. It is driven by a first-time partnership of major aviation manufacturers across the country, including Boeing, Spirit, and others, to fill an identified gap in the industry. The certification is closely aligned with the curriculum taught at the National Aviation Consortium (NAC) colleges, specifically the National Center for Aviation Training (NCAT). </w:t>
            </w:r>
            <w:hyperlink r:id="rId47" w:history="1">
              <w:r w:rsidRPr="003A3809">
                <w:rPr>
                  <w:color w:val="F78F1E"/>
                  <w:sz w:val="19"/>
                  <w:szCs w:val="19"/>
                  <w:u w:val="single"/>
                </w:rPr>
                <w:t>https://www.certtec.com/aviation-assembly/</w:t>
              </w:r>
            </w:hyperlink>
            <w:r w:rsidRPr="003A3809">
              <w:rPr>
                <w:sz w:val="19"/>
                <w:szCs w:val="19"/>
              </w:rPr>
              <w:t xml:space="preserve"> </w:t>
            </w:r>
          </w:p>
        </w:tc>
        <w:tc>
          <w:tcPr>
            <w:tcW w:w="2250" w:type="dxa"/>
          </w:tcPr>
          <w:p w14:paraId="484319F6" w14:textId="61A6995D" w:rsidR="003A3809" w:rsidRPr="00CF5CBD" w:rsidRDefault="003A3809" w:rsidP="00714121">
            <w:pPr>
              <w:jc w:val="center"/>
              <w:rPr>
                <w:rFonts w:asciiTheme="minorHAnsi" w:eastAsia="Times New Roman" w:hAnsiTheme="minorHAnsi" w:cs="Times New Roman"/>
                <w:color w:val="auto"/>
                <w:sz w:val="19"/>
                <w:szCs w:val="19"/>
              </w:rPr>
            </w:pPr>
            <w:r w:rsidRPr="003A3809">
              <w:rPr>
                <w:sz w:val="19"/>
                <w:szCs w:val="19"/>
              </w:rPr>
              <w:t>National Aviation Consortium (NAC)</w:t>
            </w:r>
          </w:p>
        </w:tc>
      </w:tr>
      <w:tr w:rsidR="00886CBA" w14:paraId="7EB14897" w14:textId="77777777" w:rsidTr="00210234">
        <w:tc>
          <w:tcPr>
            <w:tcW w:w="1710" w:type="dxa"/>
            <w:vMerge/>
            <w:shd w:val="clear" w:color="auto" w:fill="F2DBDB" w:themeFill="accent2" w:themeFillTint="33"/>
          </w:tcPr>
          <w:p w14:paraId="2566AA56" w14:textId="77777777" w:rsidR="00886CBA" w:rsidRPr="00A007DE" w:rsidRDefault="00886CBA" w:rsidP="00D74B46">
            <w:pPr>
              <w:rPr>
                <w:sz w:val="20"/>
                <w:szCs w:val="20"/>
              </w:rPr>
            </w:pPr>
          </w:p>
        </w:tc>
        <w:tc>
          <w:tcPr>
            <w:tcW w:w="540" w:type="dxa"/>
            <w:tcBorders>
              <w:bottom w:val="nil"/>
            </w:tcBorders>
          </w:tcPr>
          <w:p w14:paraId="6EA17CC2" w14:textId="77777777" w:rsidR="00886CBA" w:rsidRPr="00CF5CBD" w:rsidRDefault="00886CBA" w:rsidP="005E223B">
            <w:pPr>
              <w:pStyle w:val="ListParagraph"/>
              <w:numPr>
                <w:ilvl w:val="0"/>
                <w:numId w:val="37"/>
              </w:numPr>
              <w:ind w:left="288"/>
              <w:jc w:val="center"/>
              <w:rPr>
                <w:rFonts w:asciiTheme="minorHAnsi" w:eastAsia="Times New Roman" w:hAnsiTheme="minorHAnsi" w:cs="Times New Roman"/>
                <w:b/>
                <w:sz w:val="19"/>
                <w:szCs w:val="19"/>
              </w:rPr>
            </w:pPr>
          </w:p>
        </w:tc>
        <w:tc>
          <w:tcPr>
            <w:tcW w:w="9810" w:type="dxa"/>
          </w:tcPr>
          <w:p w14:paraId="443BFE4F" w14:textId="356B6DFF" w:rsidR="00886CBA" w:rsidRPr="00CF5CBD" w:rsidRDefault="00886CBA" w:rsidP="00886CBA">
            <w:pPr>
              <w:spacing w:after="120"/>
              <w:rPr>
                <w:rFonts w:asciiTheme="minorHAnsi" w:eastAsia="Times New Roman" w:hAnsiTheme="minorHAnsi" w:cs="Times New Roman"/>
                <w:b/>
                <w:color w:val="auto"/>
                <w:sz w:val="19"/>
                <w:szCs w:val="19"/>
              </w:rPr>
            </w:pPr>
            <w:r w:rsidRPr="00886CBA">
              <w:rPr>
                <w:b/>
                <w:color w:val="000000" w:themeColor="text1"/>
                <w:sz w:val="19"/>
                <w:szCs w:val="19"/>
              </w:rPr>
              <w:t>Employer-driven Energy Workforce Planning</w:t>
            </w:r>
            <w:r w:rsidRPr="00886CBA">
              <w:rPr>
                <w:color w:val="000000" w:themeColor="text1"/>
                <w:sz w:val="19"/>
                <w:szCs w:val="19"/>
              </w:rPr>
              <w:t xml:space="preserve"> – With support from the Center for Energy Workforce Development (CEWD), energy industry members in more than 30 states have established employer-led state energy workforce consortia. The consortia focus on state or regional strategic planning, beginning with quantifying job demand and supply in partnership with their education providers and state workforce systems. A goal of state energy workforce consortia is to assist educators with embedding standard energy curriculum and awarding preferred energy industry credentials to ensure a qualified and diverse workforce. </w:t>
            </w:r>
            <w:hyperlink r:id="rId48" w:history="1">
              <w:r w:rsidRPr="00886CBA">
                <w:rPr>
                  <w:color w:val="F78F1E"/>
                  <w:sz w:val="19"/>
                  <w:szCs w:val="19"/>
                  <w:u w:val="single"/>
                </w:rPr>
                <w:t>http://www.cewd.org/state-consortia/</w:t>
              </w:r>
            </w:hyperlink>
            <w:r w:rsidRPr="00886CBA">
              <w:rPr>
                <w:color w:val="000000" w:themeColor="text1"/>
                <w:sz w:val="19"/>
                <w:szCs w:val="19"/>
              </w:rPr>
              <w:t xml:space="preserve"> </w:t>
            </w:r>
          </w:p>
        </w:tc>
        <w:tc>
          <w:tcPr>
            <w:tcW w:w="2250" w:type="dxa"/>
          </w:tcPr>
          <w:p w14:paraId="4C9802D3" w14:textId="63038DFE" w:rsidR="00886CBA" w:rsidRPr="00CF5CBD" w:rsidRDefault="00886CBA" w:rsidP="0099185D">
            <w:pPr>
              <w:jc w:val="center"/>
              <w:rPr>
                <w:rFonts w:asciiTheme="minorHAnsi" w:hAnsiTheme="minorHAnsi"/>
                <w:color w:val="auto"/>
                <w:sz w:val="19"/>
                <w:szCs w:val="19"/>
              </w:rPr>
            </w:pPr>
            <w:r>
              <w:rPr>
                <w:rFonts w:asciiTheme="minorHAnsi" w:hAnsiTheme="minorHAnsi"/>
                <w:color w:val="auto"/>
                <w:sz w:val="19"/>
                <w:szCs w:val="19"/>
              </w:rPr>
              <w:t>Center for Energy Workforce Development (CEWD)</w:t>
            </w:r>
          </w:p>
        </w:tc>
      </w:tr>
      <w:tr w:rsidR="00CA7477" w14:paraId="2F76F83E" w14:textId="77777777" w:rsidTr="00210234">
        <w:tc>
          <w:tcPr>
            <w:tcW w:w="1710" w:type="dxa"/>
            <w:vMerge/>
            <w:shd w:val="clear" w:color="auto" w:fill="F2DBDB" w:themeFill="accent2" w:themeFillTint="33"/>
          </w:tcPr>
          <w:p w14:paraId="1168E5DF" w14:textId="77777777" w:rsidR="00CA7477" w:rsidRPr="00A007DE" w:rsidRDefault="00CA7477" w:rsidP="00D74B46">
            <w:pPr>
              <w:rPr>
                <w:sz w:val="20"/>
                <w:szCs w:val="20"/>
              </w:rPr>
            </w:pPr>
          </w:p>
        </w:tc>
        <w:tc>
          <w:tcPr>
            <w:tcW w:w="540" w:type="dxa"/>
            <w:tcBorders>
              <w:bottom w:val="nil"/>
            </w:tcBorders>
          </w:tcPr>
          <w:p w14:paraId="0047502B" w14:textId="3C4F98D7" w:rsidR="00CA7477" w:rsidRPr="00CF5CBD" w:rsidRDefault="00CA7477" w:rsidP="005E223B">
            <w:pPr>
              <w:pStyle w:val="ListParagraph"/>
              <w:numPr>
                <w:ilvl w:val="0"/>
                <w:numId w:val="37"/>
              </w:numPr>
              <w:ind w:left="288"/>
              <w:jc w:val="center"/>
              <w:rPr>
                <w:rFonts w:asciiTheme="minorHAnsi" w:eastAsia="Times New Roman" w:hAnsiTheme="minorHAnsi" w:cs="Times New Roman"/>
                <w:b/>
                <w:sz w:val="19"/>
                <w:szCs w:val="19"/>
              </w:rPr>
            </w:pPr>
          </w:p>
        </w:tc>
        <w:tc>
          <w:tcPr>
            <w:tcW w:w="9810" w:type="dxa"/>
          </w:tcPr>
          <w:p w14:paraId="533DF809" w14:textId="57D2D646" w:rsidR="00CA7477" w:rsidRPr="00CF5CBD" w:rsidRDefault="00CA7477" w:rsidP="00A96F04">
            <w:pPr>
              <w:rPr>
                <w:rFonts w:asciiTheme="minorHAnsi" w:hAnsiTheme="minorHAnsi"/>
                <w:color w:val="auto"/>
                <w:sz w:val="19"/>
                <w:szCs w:val="19"/>
              </w:rPr>
            </w:pPr>
            <w:r w:rsidRPr="00CF5CBD">
              <w:rPr>
                <w:rFonts w:asciiTheme="minorHAnsi" w:eastAsia="Times New Roman" w:hAnsiTheme="minorHAnsi" w:cs="Times New Roman"/>
                <w:b/>
                <w:color w:val="auto"/>
                <w:sz w:val="19"/>
                <w:szCs w:val="19"/>
              </w:rPr>
              <w:t xml:space="preserve">Skills for America’s Future </w:t>
            </w:r>
            <w:r w:rsidRPr="00CF5CBD">
              <w:rPr>
                <w:rFonts w:asciiTheme="minorHAnsi" w:eastAsia="Times New Roman" w:hAnsiTheme="minorHAnsi" w:cs="Times New Roman"/>
                <w:color w:val="auto"/>
                <w:sz w:val="19"/>
                <w:szCs w:val="19"/>
              </w:rPr>
              <w:t>promotes partnerships between employers and community colleges</w:t>
            </w:r>
            <w:r w:rsidRPr="00CF5CBD">
              <w:rPr>
                <w:rFonts w:asciiTheme="minorHAnsi" w:eastAsia="Times New Roman" w:hAnsiTheme="minorHAnsi" w:cs="Times New Roman"/>
                <w:b/>
                <w:color w:val="auto"/>
                <w:sz w:val="19"/>
                <w:szCs w:val="19"/>
              </w:rPr>
              <w:t xml:space="preserve"> </w:t>
            </w:r>
          </w:p>
        </w:tc>
        <w:tc>
          <w:tcPr>
            <w:tcW w:w="2250" w:type="dxa"/>
          </w:tcPr>
          <w:p w14:paraId="0B615142" w14:textId="083775A2" w:rsidR="00CA7477" w:rsidRPr="00CF5CBD" w:rsidRDefault="00CA7477" w:rsidP="0099185D">
            <w:pPr>
              <w:jc w:val="center"/>
              <w:rPr>
                <w:rFonts w:asciiTheme="minorHAnsi" w:hAnsiTheme="minorHAnsi"/>
                <w:color w:val="auto"/>
                <w:sz w:val="19"/>
                <w:szCs w:val="19"/>
              </w:rPr>
            </w:pPr>
            <w:r w:rsidRPr="00CF5CBD">
              <w:rPr>
                <w:rFonts w:asciiTheme="minorHAnsi" w:hAnsiTheme="minorHAnsi"/>
                <w:color w:val="auto"/>
                <w:sz w:val="19"/>
                <w:szCs w:val="19"/>
              </w:rPr>
              <w:t>Aspen Institute</w:t>
            </w:r>
          </w:p>
        </w:tc>
      </w:tr>
      <w:tr w:rsidR="00CA7477" w14:paraId="3350B5A5" w14:textId="77777777" w:rsidTr="00210234">
        <w:tc>
          <w:tcPr>
            <w:tcW w:w="1710" w:type="dxa"/>
            <w:vMerge/>
            <w:shd w:val="clear" w:color="auto" w:fill="F2DBDB" w:themeFill="accent2" w:themeFillTint="33"/>
          </w:tcPr>
          <w:p w14:paraId="4B9B09BE" w14:textId="77777777" w:rsidR="00CA7477" w:rsidRPr="00A007DE" w:rsidRDefault="00CA7477" w:rsidP="00D74B46">
            <w:pPr>
              <w:rPr>
                <w:sz w:val="20"/>
                <w:szCs w:val="20"/>
              </w:rPr>
            </w:pPr>
          </w:p>
        </w:tc>
        <w:tc>
          <w:tcPr>
            <w:tcW w:w="540" w:type="dxa"/>
            <w:tcBorders>
              <w:bottom w:val="nil"/>
            </w:tcBorders>
          </w:tcPr>
          <w:p w14:paraId="15D195EB" w14:textId="77777777" w:rsidR="00CA7477" w:rsidRPr="00CF5CBD" w:rsidRDefault="00CA7477" w:rsidP="005E223B">
            <w:pPr>
              <w:pStyle w:val="ListParagraph"/>
              <w:numPr>
                <w:ilvl w:val="0"/>
                <w:numId w:val="37"/>
              </w:numPr>
              <w:ind w:left="288"/>
              <w:jc w:val="center"/>
              <w:rPr>
                <w:rFonts w:asciiTheme="minorHAnsi" w:eastAsia="Times New Roman" w:hAnsiTheme="minorHAnsi" w:cs="Times New Roman"/>
                <w:b/>
                <w:sz w:val="19"/>
                <w:szCs w:val="19"/>
              </w:rPr>
            </w:pPr>
          </w:p>
        </w:tc>
        <w:tc>
          <w:tcPr>
            <w:tcW w:w="9810" w:type="dxa"/>
          </w:tcPr>
          <w:p w14:paraId="24710E52" w14:textId="22CF176C" w:rsidR="00CA7477" w:rsidRPr="00CF5CBD" w:rsidRDefault="00CA7477" w:rsidP="00D44168">
            <w:pPr>
              <w:rPr>
                <w:rFonts w:eastAsia="Times New Roman" w:cs="Times New Roman"/>
                <w:color w:val="auto"/>
                <w:sz w:val="19"/>
                <w:szCs w:val="19"/>
              </w:rPr>
            </w:pPr>
            <w:r w:rsidRPr="00CF5CBD">
              <w:rPr>
                <w:rFonts w:eastAsia="Times New Roman" w:cs="Times New Roman"/>
                <w:b/>
                <w:color w:val="auto"/>
                <w:sz w:val="19"/>
                <w:szCs w:val="19"/>
              </w:rPr>
              <w:t>College Employer Collaborative</w:t>
            </w:r>
            <w:r w:rsidRPr="00CF5CBD">
              <w:rPr>
                <w:rFonts w:eastAsia="Times New Roman" w:cs="Times New Roman"/>
                <w:color w:val="auto"/>
                <w:sz w:val="19"/>
                <w:szCs w:val="19"/>
              </w:rPr>
              <w:t xml:space="preserve"> between community colleges and leading employers enables students to learn in-demand skills through an innovative online curriculum developed by employers and postsecondary education. </w:t>
            </w:r>
          </w:p>
        </w:tc>
        <w:tc>
          <w:tcPr>
            <w:tcW w:w="2250" w:type="dxa"/>
          </w:tcPr>
          <w:p w14:paraId="203F313D" w14:textId="0A174F32" w:rsidR="00CA7477" w:rsidRPr="00CF5CBD" w:rsidRDefault="00CA7477" w:rsidP="00714121">
            <w:pPr>
              <w:jc w:val="center"/>
              <w:rPr>
                <w:rFonts w:asciiTheme="minorHAnsi" w:hAnsiTheme="minorHAnsi"/>
                <w:color w:val="auto"/>
                <w:sz w:val="19"/>
                <w:szCs w:val="19"/>
              </w:rPr>
            </w:pPr>
            <w:r w:rsidRPr="00CF5CBD">
              <w:rPr>
                <w:rFonts w:eastAsia="Times New Roman" w:cs="Times New Roman"/>
                <w:sz w:val="19"/>
                <w:szCs w:val="19"/>
              </w:rPr>
              <w:t>Jobs for the Future</w:t>
            </w:r>
            <w:r>
              <w:rPr>
                <w:rFonts w:eastAsia="Times New Roman" w:cs="Times New Roman"/>
                <w:sz w:val="19"/>
                <w:szCs w:val="19"/>
              </w:rPr>
              <w:t xml:space="preserve">, </w:t>
            </w:r>
            <w:r w:rsidRPr="00CF5CBD">
              <w:rPr>
                <w:rFonts w:eastAsia="Times New Roman" w:cs="Times New Roman"/>
                <w:sz w:val="19"/>
                <w:szCs w:val="19"/>
              </w:rPr>
              <w:t>CorpU</w:t>
            </w:r>
            <w:r w:rsidRPr="00CF5CBD">
              <w:rPr>
                <w:rFonts w:eastAsia="Times New Roman" w:cs="Times New Roman"/>
                <w:sz w:val="19"/>
                <w:szCs w:val="19"/>
              </w:rPr>
              <w:br/>
            </w:r>
          </w:p>
        </w:tc>
      </w:tr>
      <w:tr w:rsidR="00CA7477" w14:paraId="5BFA74DC" w14:textId="77777777" w:rsidTr="00210234">
        <w:tc>
          <w:tcPr>
            <w:tcW w:w="1710" w:type="dxa"/>
            <w:vMerge/>
            <w:shd w:val="clear" w:color="auto" w:fill="F2DBDB" w:themeFill="accent2" w:themeFillTint="33"/>
          </w:tcPr>
          <w:p w14:paraId="1827C14B" w14:textId="77777777" w:rsidR="00CA7477" w:rsidRPr="00A007DE" w:rsidRDefault="00CA7477">
            <w:pPr>
              <w:rPr>
                <w:sz w:val="20"/>
                <w:szCs w:val="20"/>
              </w:rPr>
            </w:pPr>
          </w:p>
        </w:tc>
        <w:tc>
          <w:tcPr>
            <w:tcW w:w="540" w:type="dxa"/>
            <w:tcBorders>
              <w:top w:val="nil"/>
            </w:tcBorders>
          </w:tcPr>
          <w:p w14:paraId="482F2A0B" w14:textId="77777777" w:rsidR="00CA7477" w:rsidRPr="00CF5CBD" w:rsidRDefault="00CA7477" w:rsidP="005E223B">
            <w:pPr>
              <w:pStyle w:val="ListParagraph"/>
              <w:numPr>
                <w:ilvl w:val="0"/>
                <w:numId w:val="37"/>
              </w:numPr>
              <w:ind w:left="288"/>
              <w:jc w:val="center"/>
              <w:rPr>
                <w:rFonts w:asciiTheme="minorHAnsi" w:eastAsia="Times New Roman" w:hAnsiTheme="minorHAnsi" w:cs="Times New Roman"/>
                <w:b/>
                <w:sz w:val="19"/>
                <w:szCs w:val="19"/>
              </w:rPr>
            </w:pPr>
          </w:p>
        </w:tc>
        <w:tc>
          <w:tcPr>
            <w:tcW w:w="9810" w:type="dxa"/>
          </w:tcPr>
          <w:p w14:paraId="546CD2FE" w14:textId="100D0F6C" w:rsidR="00CA7477" w:rsidRPr="00CF5CBD" w:rsidRDefault="00CA7477" w:rsidP="00847C8E">
            <w:pPr>
              <w:rPr>
                <w:rFonts w:asciiTheme="minorHAnsi" w:hAnsiTheme="minorHAnsi"/>
                <w:color w:val="auto"/>
                <w:sz w:val="19"/>
                <w:szCs w:val="19"/>
              </w:rPr>
            </w:pPr>
            <w:r w:rsidRPr="00CF5CBD">
              <w:rPr>
                <w:rFonts w:asciiTheme="minorHAnsi" w:eastAsia="Times New Roman" w:hAnsiTheme="minorHAnsi" w:cs="Times New Roman"/>
                <w:color w:val="auto"/>
                <w:sz w:val="19"/>
                <w:szCs w:val="19"/>
              </w:rPr>
              <w:t xml:space="preserve">Hosts </w:t>
            </w:r>
            <w:r w:rsidRPr="00CF5CBD">
              <w:rPr>
                <w:rFonts w:asciiTheme="minorHAnsi" w:eastAsia="Times New Roman" w:hAnsiTheme="minorHAnsi" w:cs="Times New Roman"/>
                <w:b/>
                <w:color w:val="auto"/>
                <w:sz w:val="19"/>
                <w:szCs w:val="19"/>
              </w:rPr>
              <w:t>national industry roundtables</w:t>
            </w:r>
            <w:r w:rsidRPr="00CF5CBD">
              <w:rPr>
                <w:rFonts w:asciiTheme="minorHAnsi" w:eastAsia="Times New Roman" w:hAnsiTheme="minorHAnsi" w:cs="Times New Roman"/>
                <w:color w:val="auto"/>
                <w:sz w:val="19"/>
                <w:szCs w:val="19"/>
              </w:rPr>
              <w:t xml:space="preserve"> to learn about skill and credential needs of specific sectors and then forms affinity groups with Goodwill members to promote well-informed sector initiatives in local areas. </w:t>
            </w:r>
          </w:p>
        </w:tc>
        <w:tc>
          <w:tcPr>
            <w:tcW w:w="2250" w:type="dxa"/>
          </w:tcPr>
          <w:p w14:paraId="6DE742CC" w14:textId="77777777" w:rsidR="00CA7477" w:rsidRPr="00CF5CBD" w:rsidRDefault="00CA7477" w:rsidP="0099185D">
            <w:pPr>
              <w:jc w:val="center"/>
              <w:rPr>
                <w:rFonts w:asciiTheme="minorHAnsi" w:hAnsiTheme="minorHAnsi"/>
                <w:color w:val="auto"/>
                <w:sz w:val="19"/>
                <w:szCs w:val="19"/>
              </w:rPr>
            </w:pPr>
            <w:r w:rsidRPr="00CF5CBD">
              <w:rPr>
                <w:rFonts w:asciiTheme="minorHAnsi" w:eastAsia="Times New Roman" w:hAnsiTheme="minorHAnsi" w:cs="Times New Roman"/>
                <w:color w:val="auto"/>
                <w:sz w:val="19"/>
                <w:szCs w:val="19"/>
              </w:rPr>
              <w:t>Goodwill Industries International  and Goodwill agencies</w:t>
            </w:r>
          </w:p>
        </w:tc>
      </w:tr>
      <w:tr w:rsidR="00CA7477" w14:paraId="6F600197" w14:textId="77777777" w:rsidTr="00210234">
        <w:tc>
          <w:tcPr>
            <w:tcW w:w="1710" w:type="dxa"/>
            <w:vMerge/>
            <w:shd w:val="clear" w:color="auto" w:fill="F2DBDB" w:themeFill="accent2" w:themeFillTint="33"/>
          </w:tcPr>
          <w:p w14:paraId="0A260BB4" w14:textId="77777777" w:rsidR="00CA7477" w:rsidRPr="00A007DE" w:rsidRDefault="00CA7477">
            <w:pPr>
              <w:rPr>
                <w:sz w:val="20"/>
                <w:szCs w:val="20"/>
              </w:rPr>
            </w:pPr>
          </w:p>
        </w:tc>
        <w:tc>
          <w:tcPr>
            <w:tcW w:w="540" w:type="dxa"/>
          </w:tcPr>
          <w:p w14:paraId="709BBBAC" w14:textId="77777777" w:rsidR="00CA7477" w:rsidRPr="00CF5CBD" w:rsidRDefault="00CA7477" w:rsidP="005E223B">
            <w:pPr>
              <w:pStyle w:val="ListParagraph"/>
              <w:numPr>
                <w:ilvl w:val="0"/>
                <w:numId w:val="37"/>
              </w:numPr>
              <w:ind w:left="288"/>
              <w:jc w:val="center"/>
              <w:rPr>
                <w:rFonts w:asciiTheme="minorHAnsi" w:eastAsia="Times New Roman" w:hAnsiTheme="minorHAnsi" w:cs="Times New Roman"/>
                <w:b/>
                <w:sz w:val="19"/>
                <w:szCs w:val="19"/>
              </w:rPr>
            </w:pPr>
          </w:p>
        </w:tc>
        <w:tc>
          <w:tcPr>
            <w:tcW w:w="9810" w:type="dxa"/>
          </w:tcPr>
          <w:p w14:paraId="217BBA09" w14:textId="45DD66A1" w:rsidR="00CA7477" w:rsidRPr="00CF5CBD" w:rsidRDefault="00CA7477" w:rsidP="00566405">
            <w:pPr>
              <w:rPr>
                <w:rFonts w:asciiTheme="minorHAnsi" w:eastAsia="Times New Roman" w:hAnsiTheme="minorHAnsi" w:cs="Times New Roman"/>
                <w:b/>
                <w:color w:val="auto"/>
                <w:sz w:val="19"/>
                <w:szCs w:val="19"/>
              </w:rPr>
            </w:pPr>
            <w:r w:rsidRPr="00CF5CBD">
              <w:rPr>
                <w:rFonts w:asciiTheme="minorHAnsi" w:eastAsia="Times New Roman" w:hAnsiTheme="minorHAnsi" w:cs="Times New Roman"/>
                <w:b/>
                <w:color w:val="auto"/>
                <w:sz w:val="19"/>
                <w:szCs w:val="19"/>
              </w:rPr>
              <w:t xml:space="preserve">Scale High-Quality Work-based Learning </w:t>
            </w:r>
            <w:r w:rsidRPr="00CF5CBD">
              <w:rPr>
                <w:rFonts w:asciiTheme="minorHAnsi" w:eastAsia="Times New Roman" w:hAnsiTheme="minorHAnsi" w:cs="Times New Roman"/>
                <w:color w:val="auto"/>
                <w:sz w:val="19"/>
                <w:szCs w:val="19"/>
              </w:rPr>
              <w:t xml:space="preserve">is a 2-year project launching this fall that will support 6 states to: elevate the role of work-based learning in connecting students and young adults to middle skills STEM jobs; identify the components of high-quality work-based learning and exemplar programs; and leverage state education and workforce systems to scale participation in those high-quality programs statewide. </w:t>
            </w:r>
            <w:r w:rsidRPr="00CF5CBD">
              <w:rPr>
                <w:rFonts w:asciiTheme="minorHAnsi" w:eastAsia="Times New Roman" w:hAnsiTheme="minorHAnsi" w:cs="Times New Roman"/>
                <w:color w:val="auto"/>
                <w:sz w:val="19"/>
                <w:szCs w:val="19"/>
              </w:rPr>
              <w:tab/>
            </w:r>
          </w:p>
        </w:tc>
        <w:tc>
          <w:tcPr>
            <w:tcW w:w="2250" w:type="dxa"/>
          </w:tcPr>
          <w:p w14:paraId="229CAB2F" w14:textId="59B706FA" w:rsidR="00CA7477" w:rsidRPr="00CF5CBD" w:rsidRDefault="00CA7477" w:rsidP="0099185D">
            <w:pPr>
              <w:jc w:val="center"/>
              <w:rPr>
                <w:rFonts w:asciiTheme="minorHAnsi" w:eastAsia="Times New Roman" w:hAnsiTheme="minorHAnsi" w:cs="Times New Roman"/>
                <w:color w:val="auto"/>
                <w:sz w:val="19"/>
                <w:szCs w:val="19"/>
              </w:rPr>
            </w:pPr>
            <w:r w:rsidRPr="00CF5CBD">
              <w:rPr>
                <w:rFonts w:asciiTheme="minorHAnsi" w:eastAsia="Times New Roman" w:hAnsiTheme="minorHAnsi" w:cs="Times New Roman"/>
                <w:color w:val="auto"/>
                <w:sz w:val="19"/>
                <w:szCs w:val="19"/>
              </w:rPr>
              <w:t>Siemens Foundation, National Governors Association Center for Best Practices</w:t>
            </w:r>
          </w:p>
        </w:tc>
      </w:tr>
      <w:tr w:rsidR="00CA7477" w14:paraId="63E5C282" w14:textId="77777777" w:rsidTr="00210234">
        <w:tc>
          <w:tcPr>
            <w:tcW w:w="1710" w:type="dxa"/>
            <w:vMerge/>
            <w:shd w:val="clear" w:color="auto" w:fill="F2DBDB" w:themeFill="accent2" w:themeFillTint="33"/>
          </w:tcPr>
          <w:p w14:paraId="611582D0" w14:textId="77777777" w:rsidR="00CA7477" w:rsidRPr="00A007DE" w:rsidRDefault="00CA7477">
            <w:pPr>
              <w:rPr>
                <w:sz w:val="20"/>
                <w:szCs w:val="20"/>
              </w:rPr>
            </w:pPr>
          </w:p>
        </w:tc>
        <w:tc>
          <w:tcPr>
            <w:tcW w:w="540" w:type="dxa"/>
          </w:tcPr>
          <w:p w14:paraId="114857C2" w14:textId="77777777" w:rsidR="00CA7477" w:rsidRPr="00CF5CBD" w:rsidRDefault="00CA7477" w:rsidP="005E223B">
            <w:pPr>
              <w:pStyle w:val="ListParagraph"/>
              <w:numPr>
                <w:ilvl w:val="0"/>
                <w:numId w:val="37"/>
              </w:numPr>
              <w:ind w:left="288"/>
              <w:jc w:val="center"/>
              <w:rPr>
                <w:rFonts w:asciiTheme="minorHAnsi" w:eastAsia="Times New Roman" w:hAnsiTheme="minorHAnsi" w:cs="Times New Roman"/>
                <w:b/>
                <w:sz w:val="19"/>
                <w:szCs w:val="19"/>
              </w:rPr>
            </w:pPr>
          </w:p>
        </w:tc>
        <w:tc>
          <w:tcPr>
            <w:tcW w:w="9810" w:type="dxa"/>
          </w:tcPr>
          <w:p w14:paraId="1F5B5A10" w14:textId="4E733317" w:rsidR="00CA7477" w:rsidRPr="00CF5CBD" w:rsidRDefault="00CA7477" w:rsidP="00A96F04">
            <w:pPr>
              <w:rPr>
                <w:rFonts w:asciiTheme="minorHAnsi" w:eastAsia="Times New Roman" w:hAnsiTheme="minorHAnsi" w:cs="Times New Roman"/>
                <w:b/>
                <w:color w:val="auto"/>
                <w:sz w:val="19"/>
                <w:szCs w:val="19"/>
              </w:rPr>
            </w:pPr>
            <w:r w:rsidRPr="00CF5CBD">
              <w:rPr>
                <w:rFonts w:asciiTheme="minorHAnsi" w:eastAsia="Times New Roman" w:hAnsiTheme="minorHAnsi" w:cs="Times New Roman"/>
                <w:color w:val="auto"/>
                <w:sz w:val="19"/>
                <w:szCs w:val="19"/>
              </w:rPr>
              <w:t xml:space="preserve">Promotes partnerships, emphasizing </w:t>
            </w:r>
            <w:r w:rsidRPr="00B4150E">
              <w:rPr>
                <w:rFonts w:asciiTheme="minorHAnsi" w:eastAsia="Times New Roman" w:hAnsiTheme="minorHAnsi" w:cs="Times New Roman"/>
                <w:b/>
                <w:color w:val="auto"/>
                <w:sz w:val="19"/>
                <w:szCs w:val="19"/>
              </w:rPr>
              <w:t>STEM in career readiness</w:t>
            </w:r>
            <w:r w:rsidRPr="00CF5CBD">
              <w:rPr>
                <w:rFonts w:asciiTheme="minorHAnsi" w:eastAsia="Times New Roman" w:hAnsiTheme="minorHAnsi" w:cs="Times New Roman"/>
                <w:color w:val="auto"/>
                <w:sz w:val="19"/>
                <w:szCs w:val="19"/>
              </w:rPr>
              <w:t xml:space="preserve"> for future jobs. </w:t>
            </w:r>
          </w:p>
        </w:tc>
        <w:tc>
          <w:tcPr>
            <w:tcW w:w="2250" w:type="dxa"/>
          </w:tcPr>
          <w:p w14:paraId="0E9ACE37" w14:textId="345E1368" w:rsidR="00CA7477" w:rsidRPr="00CF5CBD" w:rsidRDefault="00CA7477" w:rsidP="0099185D">
            <w:pPr>
              <w:jc w:val="center"/>
              <w:rPr>
                <w:rFonts w:asciiTheme="minorHAnsi" w:eastAsia="Times New Roman" w:hAnsiTheme="minorHAnsi" w:cs="Times New Roman"/>
                <w:color w:val="auto"/>
                <w:sz w:val="19"/>
                <w:szCs w:val="19"/>
              </w:rPr>
            </w:pPr>
            <w:r w:rsidRPr="00CF5CBD">
              <w:rPr>
                <w:rFonts w:asciiTheme="minorHAnsi" w:hAnsiTheme="minorHAnsi"/>
                <w:sz w:val="19"/>
                <w:szCs w:val="19"/>
              </w:rPr>
              <w:t>Skills USA</w:t>
            </w:r>
          </w:p>
        </w:tc>
      </w:tr>
      <w:tr w:rsidR="00CA7477" w14:paraId="52AA15E1" w14:textId="77777777" w:rsidTr="00210234">
        <w:tc>
          <w:tcPr>
            <w:tcW w:w="1710" w:type="dxa"/>
            <w:vMerge/>
            <w:shd w:val="clear" w:color="auto" w:fill="F2DBDB" w:themeFill="accent2" w:themeFillTint="33"/>
          </w:tcPr>
          <w:p w14:paraId="3106F93B" w14:textId="77777777" w:rsidR="00CA7477" w:rsidRPr="00A007DE" w:rsidRDefault="00CA7477">
            <w:pPr>
              <w:rPr>
                <w:sz w:val="20"/>
                <w:szCs w:val="20"/>
              </w:rPr>
            </w:pPr>
          </w:p>
        </w:tc>
        <w:tc>
          <w:tcPr>
            <w:tcW w:w="540" w:type="dxa"/>
          </w:tcPr>
          <w:p w14:paraId="73941E7A" w14:textId="77777777" w:rsidR="00CA7477" w:rsidRPr="00CF5CBD" w:rsidRDefault="00CA7477" w:rsidP="005E223B">
            <w:pPr>
              <w:pStyle w:val="ListParagraph"/>
              <w:numPr>
                <w:ilvl w:val="0"/>
                <w:numId w:val="37"/>
              </w:numPr>
              <w:ind w:left="288"/>
              <w:jc w:val="center"/>
              <w:rPr>
                <w:rFonts w:asciiTheme="minorHAnsi" w:eastAsia="Times New Roman" w:hAnsiTheme="minorHAnsi" w:cs="Times New Roman"/>
                <w:b/>
                <w:sz w:val="19"/>
                <w:szCs w:val="19"/>
              </w:rPr>
            </w:pPr>
          </w:p>
        </w:tc>
        <w:tc>
          <w:tcPr>
            <w:tcW w:w="9810" w:type="dxa"/>
          </w:tcPr>
          <w:p w14:paraId="14622A8E" w14:textId="011A8B7A" w:rsidR="00CA7477" w:rsidRPr="00CF5CBD" w:rsidRDefault="00CA7477" w:rsidP="00A96F04">
            <w:pPr>
              <w:rPr>
                <w:rFonts w:asciiTheme="minorHAnsi" w:eastAsia="Times New Roman" w:hAnsiTheme="minorHAnsi" w:cs="Times New Roman"/>
                <w:color w:val="auto"/>
                <w:sz w:val="19"/>
                <w:szCs w:val="19"/>
              </w:rPr>
            </w:pPr>
            <w:r w:rsidRPr="008D2A77">
              <w:rPr>
                <w:rFonts w:asciiTheme="minorHAnsi" w:eastAsia="Times New Roman" w:hAnsiTheme="minorHAnsi" w:cs="Times New Roman"/>
                <w:color w:val="auto"/>
                <w:sz w:val="19"/>
                <w:szCs w:val="19"/>
              </w:rPr>
              <w:t>Partners with employers nationwide to offer fully accredited associate’s and bachelor’s degree programs to their frontline employees for $2,500 a year, usually paid in full or part by employer’s tuition assistance plan. Students are awarded a degree and diploma from Southern New Hampshire University based on demonstrated mastery of competencies through project-based learning.</w:t>
            </w:r>
          </w:p>
        </w:tc>
        <w:tc>
          <w:tcPr>
            <w:tcW w:w="2250" w:type="dxa"/>
          </w:tcPr>
          <w:p w14:paraId="15074335" w14:textId="72658369" w:rsidR="00CA7477" w:rsidRPr="00CF5CBD" w:rsidRDefault="00CA7477" w:rsidP="0099185D">
            <w:pPr>
              <w:jc w:val="center"/>
              <w:rPr>
                <w:rFonts w:asciiTheme="minorHAnsi" w:hAnsiTheme="minorHAnsi"/>
                <w:sz w:val="19"/>
                <w:szCs w:val="19"/>
              </w:rPr>
            </w:pPr>
            <w:r w:rsidRPr="008D2A77">
              <w:rPr>
                <w:rFonts w:asciiTheme="minorHAnsi" w:eastAsia="Times New Roman" w:hAnsiTheme="minorHAnsi" w:cs="Times New Roman"/>
                <w:sz w:val="19"/>
                <w:szCs w:val="19"/>
              </w:rPr>
              <w:t>College for America</w:t>
            </w:r>
          </w:p>
        </w:tc>
      </w:tr>
      <w:tr w:rsidR="002A703D" w14:paraId="34E7FFDD" w14:textId="77777777" w:rsidTr="00210234">
        <w:tc>
          <w:tcPr>
            <w:tcW w:w="1710" w:type="dxa"/>
            <w:vMerge/>
            <w:shd w:val="clear" w:color="auto" w:fill="F2DBDB" w:themeFill="accent2" w:themeFillTint="33"/>
          </w:tcPr>
          <w:p w14:paraId="7EC265FF" w14:textId="77777777" w:rsidR="002A703D" w:rsidRPr="00A007DE" w:rsidRDefault="002A703D">
            <w:pPr>
              <w:rPr>
                <w:sz w:val="20"/>
                <w:szCs w:val="20"/>
              </w:rPr>
            </w:pPr>
          </w:p>
        </w:tc>
        <w:tc>
          <w:tcPr>
            <w:tcW w:w="540" w:type="dxa"/>
          </w:tcPr>
          <w:p w14:paraId="02CFF52E" w14:textId="77777777" w:rsidR="002A703D" w:rsidRPr="00CF5CBD" w:rsidRDefault="002A703D" w:rsidP="005E223B">
            <w:pPr>
              <w:pStyle w:val="ListParagraph"/>
              <w:numPr>
                <w:ilvl w:val="0"/>
                <w:numId w:val="37"/>
              </w:numPr>
              <w:ind w:left="288"/>
              <w:jc w:val="center"/>
              <w:rPr>
                <w:rFonts w:asciiTheme="minorHAnsi" w:eastAsia="Times New Roman" w:hAnsiTheme="minorHAnsi" w:cs="Times New Roman"/>
                <w:b/>
                <w:sz w:val="19"/>
                <w:szCs w:val="19"/>
              </w:rPr>
            </w:pPr>
          </w:p>
        </w:tc>
        <w:tc>
          <w:tcPr>
            <w:tcW w:w="9810" w:type="dxa"/>
          </w:tcPr>
          <w:p w14:paraId="7EFD9DD4" w14:textId="526BC3D0" w:rsidR="002A703D" w:rsidRPr="002A703D" w:rsidRDefault="002A703D" w:rsidP="002A703D">
            <w:pPr>
              <w:spacing w:after="120"/>
              <w:rPr>
                <w:color w:val="F78F1E"/>
                <w:sz w:val="19"/>
                <w:szCs w:val="19"/>
                <w:u w:val="single"/>
              </w:rPr>
            </w:pPr>
            <w:r w:rsidRPr="002A703D">
              <w:rPr>
                <w:b/>
                <w:color w:val="000000" w:themeColor="text1"/>
                <w:sz w:val="19"/>
                <w:szCs w:val="19"/>
              </w:rPr>
              <w:t>Competency-Centric Analysis to Inform Planning</w:t>
            </w:r>
            <w:r w:rsidRPr="002A703D">
              <w:rPr>
                <w:color w:val="000000" w:themeColor="text1"/>
                <w:sz w:val="19"/>
                <w:szCs w:val="19"/>
              </w:rPr>
              <w:t xml:space="preserve"> –College for America is pioneering an effort to leverage labor market trends and workforce analytics to identify leading and cross-cutting competencies in an in-demand field. These trends are then validated with partner employers. This information is used to support the development of competency-based programs delivered on flexible learning platforms. These platforms are used to support talent pipelines for partner companies while providing pathways for the advancement of new and incumbent workers. </w:t>
            </w:r>
            <w:hyperlink r:id="rId49" w:history="1">
              <w:r w:rsidRPr="002A703D">
                <w:rPr>
                  <w:color w:val="F78F1E"/>
                  <w:sz w:val="19"/>
                  <w:szCs w:val="19"/>
                  <w:u w:val="single"/>
                </w:rPr>
                <w:t>www.collegeforamerica.org/healthcare-workforce-report</w:t>
              </w:r>
            </w:hyperlink>
          </w:p>
        </w:tc>
        <w:tc>
          <w:tcPr>
            <w:tcW w:w="2250" w:type="dxa"/>
          </w:tcPr>
          <w:p w14:paraId="629CD017" w14:textId="5E450E0A" w:rsidR="002A703D" w:rsidRPr="008D2A77" w:rsidRDefault="002A703D" w:rsidP="0099185D">
            <w:pPr>
              <w:jc w:val="center"/>
              <w:rPr>
                <w:rFonts w:asciiTheme="minorHAnsi" w:eastAsia="Times New Roman" w:hAnsiTheme="minorHAnsi" w:cs="Times New Roman"/>
                <w:sz w:val="19"/>
                <w:szCs w:val="19"/>
              </w:rPr>
            </w:pPr>
            <w:r>
              <w:rPr>
                <w:rFonts w:asciiTheme="minorHAnsi" w:eastAsia="Times New Roman" w:hAnsiTheme="minorHAnsi" w:cs="Times New Roman"/>
                <w:sz w:val="19"/>
                <w:szCs w:val="19"/>
              </w:rPr>
              <w:t>College for America</w:t>
            </w:r>
          </w:p>
        </w:tc>
      </w:tr>
      <w:tr w:rsidR="00CA7477" w14:paraId="56104A8F" w14:textId="77777777" w:rsidTr="00210234">
        <w:tc>
          <w:tcPr>
            <w:tcW w:w="1710" w:type="dxa"/>
            <w:vMerge/>
            <w:shd w:val="clear" w:color="auto" w:fill="F2DBDB" w:themeFill="accent2" w:themeFillTint="33"/>
          </w:tcPr>
          <w:p w14:paraId="10523071" w14:textId="77777777" w:rsidR="00CA7477" w:rsidRPr="00A007DE" w:rsidRDefault="00CA7477">
            <w:pPr>
              <w:rPr>
                <w:sz w:val="20"/>
                <w:szCs w:val="20"/>
              </w:rPr>
            </w:pPr>
          </w:p>
        </w:tc>
        <w:tc>
          <w:tcPr>
            <w:tcW w:w="540" w:type="dxa"/>
          </w:tcPr>
          <w:p w14:paraId="3C19106E" w14:textId="77777777" w:rsidR="00CA7477" w:rsidRPr="00CF5CBD" w:rsidRDefault="00CA7477" w:rsidP="005E223B">
            <w:pPr>
              <w:pStyle w:val="ListParagraph"/>
              <w:numPr>
                <w:ilvl w:val="0"/>
                <w:numId w:val="37"/>
              </w:numPr>
              <w:ind w:left="288"/>
              <w:jc w:val="center"/>
              <w:rPr>
                <w:rFonts w:asciiTheme="minorHAnsi" w:eastAsia="Times New Roman" w:hAnsiTheme="minorHAnsi" w:cs="Times New Roman"/>
                <w:b/>
                <w:sz w:val="19"/>
                <w:szCs w:val="19"/>
              </w:rPr>
            </w:pPr>
          </w:p>
        </w:tc>
        <w:tc>
          <w:tcPr>
            <w:tcW w:w="9810" w:type="dxa"/>
          </w:tcPr>
          <w:p w14:paraId="28981A56" w14:textId="12D57B93" w:rsidR="00CA7477" w:rsidRPr="00CF5CBD" w:rsidRDefault="00CA7477" w:rsidP="0000163C">
            <w:pPr>
              <w:rPr>
                <w:rFonts w:asciiTheme="minorHAnsi" w:eastAsia="Times New Roman" w:hAnsiTheme="minorHAnsi" w:cs="Times New Roman"/>
                <w:color w:val="auto"/>
                <w:sz w:val="19"/>
                <w:szCs w:val="19"/>
              </w:rPr>
            </w:pPr>
            <w:r w:rsidRPr="00CF5CBD">
              <w:rPr>
                <w:rFonts w:asciiTheme="minorHAnsi" w:eastAsia="Times New Roman" w:hAnsiTheme="minorHAnsi" w:cs="Times New Roman"/>
                <w:color w:val="auto"/>
                <w:sz w:val="19"/>
                <w:szCs w:val="19"/>
              </w:rPr>
              <w:t xml:space="preserve">Working to implement the recommendations of its </w:t>
            </w:r>
            <w:r w:rsidRPr="00CF5CBD">
              <w:rPr>
                <w:rFonts w:asciiTheme="minorHAnsi" w:eastAsia="Times New Roman" w:hAnsiTheme="minorHAnsi" w:cs="Times New Roman"/>
                <w:b/>
                <w:color w:val="auto"/>
                <w:sz w:val="19"/>
                <w:szCs w:val="19"/>
              </w:rPr>
              <w:t>Task Force on Improving Career Readiness</w:t>
            </w:r>
            <w:r w:rsidRPr="00CF5CBD">
              <w:rPr>
                <w:rFonts w:asciiTheme="minorHAnsi" w:eastAsia="Times New Roman" w:hAnsiTheme="minorHAnsi" w:cs="Times New Roman"/>
                <w:color w:val="auto"/>
                <w:sz w:val="19"/>
                <w:szCs w:val="19"/>
              </w:rPr>
              <w:t>, which includes the recommendation that state education leaders “enlist the employer community as a lead partner in defining the pathways and skills most essential in today’s economy.” CCSSO is supporting a network of states as they develop cross-sectoral partnerships and establish these pathways.</w:t>
            </w:r>
          </w:p>
        </w:tc>
        <w:tc>
          <w:tcPr>
            <w:tcW w:w="2250" w:type="dxa"/>
          </w:tcPr>
          <w:p w14:paraId="6E372EEE" w14:textId="372C9D0F" w:rsidR="00CA7477" w:rsidRPr="00CF5CBD" w:rsidRDefault="00CA7477" w:rsidP="0099185D">
            <w:pPr>
              <w:jc w:val="center"/>
              <w:rPr>
                <w:rFonts w:asciiTheme="minorHAnsi" w:hAnsiTheme="minorHAnsi"/>
                <w:sz w:val="19"/>
                <w:szCs w:val="19"/>
              </w:rPr>
            </w:pPr>
            <w:r w:rsidRPr="00CF5CBD">
              <w:rPr>
                <w:rFonts w:asciiTheme="minorHAnsi" w:eastAsia="Times New Roman" w:hAnsiTheme="minorHAnsi" w:cs="Times New Roman"/>
                <w:sz w:val="19"/>
                <w:szCs w:val="19"/>
              </w:rPr>
              <w:t>Council of Chief State School Officers</w:t>
            </w:r>
          </w:p>
        </w:tc>
      </w:tr>
      <w:tr w:rsidR="00CA7477" w14:paraId="1E1E9B38" w14:textId="77777777" w:rsidTr="00210234">
        <w:tc>
          <w:tcPr>
            <w:tcW w:w="1710" w:type="dxa"/>
            <w:vMerge/>
            <w:shd w:val="clear" w:color="auto" w:fill="F2DBDB" w:themeFill="accent2" w:themeFillTint="33"/>
          </w:tcPr>
          <w:p w14:paraId="37F3F753" w14:textId="77777777" w:rsidR="00CA7477" w:rsidRPr="00A007DE" w:rsidRDefault="00CA7477">
            <w:pPr>
              <w:rPr>
                <w:sz w:val="20"/>
                <w:szCs w:val="20"/>
              </w:rPr>
            </w:pPr>
          </w:p>
        </w:tc>
        <w:tc>
          <w:tcPr>
            <w:tcW w:w="540" w:type="dxa"/>
          </w:tcPr>
          <w:p w14:paraId="2563FBA1" w14:textId="77777777" w:rsidR="00CA7477" w:rsidRPr="00CF5CBD" w:rsidRDefault="00CA7477" w:rsidP="005E223B">
            <w:pPr>
              <w:pStyle w:val="ListParagraph"/>
              <w:numPr>
                <w:ilvl w:val="0"/>
                <w:numId w:val="37"/>
              </w:numPr>
              <w:ind w:left="288"/>
              <w:jc w:val="center"/>
              <w:rPr>
                <w:rFonts w:asciiTheme="minorHAnsi" w:eastAsia="Times New Roman" w:hAnsiTheme="minorHAnsi" w:cs="Times New Roman"/>
                <w:b/>
                <w:sz w:val="19"/>
                <w:szCs w:val="19"/>
              </w:rPr>
            </w:pPr>
          </w:p>
        </w:tc>
        <w:tc>
          <w:tcPr>
            <w:tcW w:w="9810" w:type="dxa"/>
          </w:tcPr>
          <w:p w14:paraId="07B9061D" w14:textId="6196DD94" w:rsidR="00CA7477" w:rsidRPr="00CF5CBD" w:rsidRDefault="00CA7477" w:rsidP="005C61A6">
            <w:pPr>
              <w:rPr>
                <w:rFonts w:eastAsia="Times New Roman" w:cs="Times New Roman"/>
                <w:color w:val="auto"/>
                <w:sz w:val="19"/>
                <w:szCs w:val="19"/>
              </w:rPr>
            </w:pPr>
            <w:r w:rsidRPr="006B1813">
              <w:rPr>
                <w:rFonts w:eastAsia="Times New Roman" w:cs="Times New Roman"/>
                <w:b/>
                <w:color w:val="auto"/>
                <w:sz w:val="19"/>
                <w:szCs w:val="19"/>
              </w:rPr>
              <w:t>Northeast Resiliency Consortium</w:t>
            </w:r>
            <w:r w:rsidRPr="00CF5CBD">
              <w:rPr>
                <w:rFonts w:eastAsia="Times New Roman" w:cs="Times New Roman"/>
                <w:color w:val="auto"/>
                <w:sz w:val="19"/>
                <w:szCs w:val="19"/>
              </w:rPr>
              <w:t xml:space="preserve"> provides competency based training and new coursework in resiliency leading to credentials needed for occupations that build stronger, safer, and more prosperous communities while mitigating the short and long term effects of recent disasters and future threats. </w:t>
            </w:r>
          </w:p>
        </w:tc>
        <w:tc>
          <w:tcPr>
            <w:tcW w:w="2250" w:type="dxa"/>
          </w:tcPr>
          <w:p w14:paraId="602C49F8" w14:textId="7A0F19FA" w:rsidR="00CA7477" w:rsidRPr="00CF5CBD" w:rsidRDefault="00CA7477" w:rsidP="0008478B">
            <w:pPr>
              <w:jc w:val="center"/>
              <w:rPr>
                <w:rFonts w:asciiTheme="minorHAnsi" w:eastAsia="Times New Roman" w:hAnsiTheme="minorHAnsi" w:cs="Times New Roman"/>
                <w:sz w:val="19"/>
                <w:szCs w:val="19"/>
              </w:rPr>
            </w:pPr>
            <w:r w:rsidRPr="00CF5CBD">
              <w:rPr>
                <w:rFonts w:eastAsia="Times New Roman" w:cs="Times New Roman"/>
                <w:sz w:val="19"/>
                <w:szCs w:val="19"/>
              </w:rPr>
              <w:t>Achieving the Dream, Carnegie Foundation for the Advancement of Teaching, TAACCCT grant</w:t>
            </w:r>
            <w:r>
              <w:rPr>
                <w:rFonts w:eastAsia="Times New Roman" w:cs="Times New Roman"/>
                <w:sz w:val="19"/>
                <w:szCs w:val="19"/>
              </w:rPr>
              <w:t xml:space="preserve">, </w:t>
            </w:r>
            <w:r w:rsidRPr="00CF5CBD">
              <w:rPr>
                <w:rFonts w:eastAsia="Times New Roman" w:cs="Times New Roman"/>
                <w:sz w:val="19"/>
                <w:szCs w:val="19"/>
              </w:rPr>
              <w:t xml:space="preserve">Passaic, Atlantic Cape, LaGuardia, Kingsborough, Housatonic, Capital  </w:t>
            </w:r>
            <w:r>
              <w:rPr>
                <w:rFonts w:eastAsia="Times New Roman" w:cs="Times New Roman"/>
                <w:sz w:val="19"/>
                <w:szCs w:val="19"/>
              </w:rPr>
              <w:t xml:space="preserve">&amp; </w:t>
            </w:r>
            <w:r w:rsidRPr="00CF5CBD">
              <w:rPr>
                <w:rFonts w:eastAsia="Times New Roman" w:cs="Times New Roman"/>
                <w:sz w:val="19"/>
                <w:szCs w:val="19"/>
              </w:rPr>
              <w:t xml:space="preserve">Bunker Hill community colleges, employers  </w:t>
            </w:r>
          </w:p>
        </w:tc>
      </w:tr>
      <w:tr w:rsidR="00CA7477" w:rsidRPr="00501316" w14:paraId="39F75BF6" w14:textId="77777777" w:rsidTr="00210234">
        <w:tc>
          <w:tcPr>
            <w:tcW w:w="1710" w:type="dxa"/>
            <w:vMerge/>
            <w:shd w:val="clear" w:color="auto" w:fill="F2DBDB" w:themeFill="accent2" w:themeFillTint="33"/>
          </w:tcPr>
          <w:p w14:paraId="3261F35D" w14:textId="77777777" w:rsidR="00CA7477" w:rsidRPr="00A007DE" w:rsidRDefault="00CA7477">
            <w:pPr>
              <w:rPr>
                <w:color w:val="auto"/>
                <w:sz w:val="20"/>
                <w:szCs w:val="20"/>
              </w:rPr>
            </w:pPr>
          </w:p>
        </w:tc>
        <w:tc>
          <w:tcPr>
            <w:tcW w:w="540" w:type="dxa"/>
          </w:tcPr>
          <w:p w14:paraId="72C20FA6" w14:textId="77777777" w:rsidR="00CA7477" w:rsidRPr="00F115E5" w:rsidRDefault="00CA7477" w:rsidP="005E223B">
            <w:pPr>
              <w:pStyle w:val="ListParagraph"/>
              <w:numPr>
                <w:ilvl w:val="0"/>
                <w:numId w:val="37"/>
              </w:numPr>
              <w:ind w:left="288"/>
              <w:jc w:val="center"/>
              <w:rPr>
                <w:rFonts w:asciiTheme="minorHAnsi" w:eastAsia="Times New Roman" w:hAnsiTheme="minorHAnsi" w:cs="Times New Roman"/>
                <w:b/>
                <w:color w:val="auto"/>
                <w:sz w:val="19"/>
                <w:szCs w:val="19"/>
              </w:rPr>
            </w:pPr>
          </w:p>
        </w:tc>
        <w:tc>
          <w:tcPr>
            <w:tcW w:w="9810" w:type="dxa"/>
          </w:tcPr>
          <w:p w14:paraId="19DF3D7B" w14:textId="347BD645" w:rsidR="00CA7477" w:rsidRPr="00F115E5" w:rsidRDefault="00CA7477" w:rsidP="00A96F04">
            <w:pPr>
              <w:rPr>
                <w:rFonts w:asciiTheme="minorHAnsi" w:eastAsia="Times New Roman" w:hAnsiTheme="minorHAnsi" w:cs="Times New Roman"/>
                <w:b/>
                <w:color w:val="auto"/>
                <w:sz w:val="19"/>
                <w:szCs w:val="19"/>
              </w:rPr>
            </w:pPr>
            <w:r w:rsidRPr="00F115E5">
              <w:rPr>
                <w:rFonts w:asciiTheme="minorHAnsi" w:eastAsia="Times New Roman" w:hAnsiTheme="minorHAnsi" w:cs="Times New Roman"/>
                <w:color w:val="auto"/>
                <w:sz w:val="19"/>
                <w:szCs w:val="19"/>
              </w:rPr>
              <w:t xml:space="preserve">Partners with secondary schools to implement career-focused </w:t>
            </w:r>
            <w:r w:rsidRPr="00B4150E">
              <w:rPr>
                <w:rFonts w:asciiTheme="minorHAnsi" w:eastAsia="Times New Roman" w:hAnsiTheme="minorHAnsi" w:cs="Times New Roman"/>
                <w:b/>
                <w:color w:val="auto"/>
                <w:sz w:val="19"/>
                <w:szCs w:val="19"/>
              </w:rPr>
              <w:t>STEM</w:t>
            </w:r>
            <w:r w:rsidRPr="00F115E5">
              <w:rPr>
                <w:rFonts w:asciiTheme="minorHAnsi" w:eastAsia="Times New Roman" w:hAnsiTheme="minorHAnsi" w:cs="Times New Roman"/>
                <w:color w:val="auto"/>
                <w:sz w:val="19"/>
                <w:szCs w:val="19"/>
              </w:rPr>
              <w:t xml:space="preserve"> education programs.</w:t>
            </w:r>
            <w:r w:rsidRPr="00F115E5">
              <w:rPr>
                <w:rFonts w:asciiTheme="minorHAnsi" w:eastAsia="Times New Roman" w:hAnsiTheme="minorHAnsi" w:cs="Times New Roman"/>
                <w:b/>
                <w:color w:val="auto"/>
                <w:sz w:val="19"/>
                <w:szCs w:val="19"/>
              </w:rPr>
              <w:t xml:space="preserve"> </w:t>
            </w:r>
          </w:p>
        </w:tc>
        <w:tc>
          <w:tcPr>
            <w:tcW w:w="2250" w:type="dxa"/>
          </w:tcPr>
          <w:p w14:paraId="244659FF" w14:textId="23E34DF2" w:rsidR="00CA7477" w:rsidRPr="00F115E5" w:rsidRDefault="00CA7477" w:rsidP="0099185D">
            <w:pPr>
              <w:jc w:val="center"/>
              <w:rPr>
                <w:rFonts w:asciiTheme="minorHAnsi" w:eastAsia="Times New Roman" w:hAnsiTheme="minorHAnsi" w:cs="Times New Roman"/>
                <w:color w:val="auto"/>
                <w:sz w:val="19"/>
                <w:szCs w:val="19"/>
              </w:rPr>
            </w:pPr>
            <w:r w:rsidRPr="00F115E5">
              <w:rPr>
                <w:rFonts w:asciiTheme="minorHAnsi" w:hAnsiTheme="minorHAnsi"/>
                <w:sz w:val="19"/>
                <w:szCs w:val="19"/>
              </w:rPr>
              <w:t>College Board</w:t>
            </w:r>
          </w:p>
        </w:tc>
      </w:tr>
      <w:tr w:rsidR="00CA7477" w:rsidRPr="00501316" w14:paraId="7898BB68" w14:textId="77777777" w:rsidTr="00210234">
        <w:tc>
          <w:tcPr>
            <w:tcW w:w="1710" w:type="dxa"/>
            <w:vMerge/>
            <w:shd w:val="clear" w:color="auto" w:fill="F2DBDB" w:themeFill="accent2" w:themeFillTint="33"/>
          </w:tcPr>
          <w:p w14:paraId="2622ED21" w14:textId="77777777" w:rsidR="00CA7477" w:rsidRPr="00A007DE" w:rsidRDefault="00CA7477">
            <w:pPr>
              <w:rPr>
                <w:color w:val="auto"/>
                <w:sz w:val="20"/>
                <w:szCs w:val="20"/>
              </w:rPr>
            </w:pPr>
          </w:p>
        </w:tc>
        <w:tc>
          <w:tcPr>
            <w:tcW w:w="540" w:type="dxa"/>
          </w:tcPr>
          <w:p w14:paraId="24EFDBD6" w14:textId="77777777" w:rsidR="00CA7477" w:rsidRPr="00F115E5" w:rsidRDefault="00CA7477" w:rsidP="005E223B">
            <w:pPr>
              <w:pStyle w:val="ListParagraph"/>
              <w:numPr>
                <w:ilvl w:val="0"/>
                <w:numId w:val="37"/>
              </w:numPr>
              <w:ind w:left="288"/>
              <w:jc w:val="center"/>
              <w:rPr>
                <w:rFonts w:asciiTheme="minorHAnsi" w:eastAsia="Times New Roman" w:hAnsiTheme="minorHAnsi" w:cs="Times New Roman"/>
                <w:b/>
                <w:color w:val="auto"/>
                <w:sz w:val="19"/>
                <w:szCs w:val="19"/>
              </w:rPr>
            </w:pPr>
          </w:p>
        </w:tc>
        <w:tc>
          <w:tcPr>
            <w:tcW w:w="9810" w:type="dxa"/>
          </w:tcPr>
          <w:p w14:paraId="20D17A35" w14:textId="0628B9EB" w:rsidR="00CA7477" w:rsidRPr="00715AED" w:rsidRDefault="00CA7477" w:rsidP="00A96F04">
            <w:pPr>
              <w:rPr>
                <w:rFonts w:asciiTheme="minorHAnsi" w:hAnsiTheme="minorHAnsi"/>
                <w:sz w:val="18"/>
                <w:szCs w:val="18"/>
              </w:rPr>
            </w:pPr>
            <w:r w:rsidRPr="008C3C63">
              <w:rPr>
                <w:rFonts w:asciiTheme="minorHAnsi" w:hAnsiTheme="minorHAnsi"/>
                <w:sz w:val="18"/>
                <w:szCs w:val="18"/>
              </w:rPr>
              <w:t>In 2014, T.E.A.C.H. Early Childhood® (T.E.A.C.H.) raised $400 million public and private dollars to provide scholarships and other supports for professional development of early childhood teachers in 23 states and DC, supporting over 16,000 employees working with 8,110 different employers. Those working on two or four year degrees who completed 14 credit hours while working full time, saw an 8% wage gain and had turnover rates of 4-6</w:t>
            </w:r>
            <w:r>
              <w:rPr>
                <w:rFonts w:asciiTheme="minorHAnsi" w:hAnsiTheme="minorHAnsi"/>
                <w:sz w:val="18"/>
                <w:szCs w:val="18"/>
              </w:rPr>
              <w:t xml:space="preserve"> percent, which are low for the industry.. </w:t>
            </w:r>
            <w:hyperlink r:id="rId50" w:history="1">
              <w:r w:rsidRPr="008C3C63">
                <w:rPr>
                  <w:rStyle w:val="Hyperlink"/>
                  <w:rFonts w:asciiTheme="minorHAnsi" w:hAnsiTheme="minorHAnsi"/>
                  <w:sz w:val="18"/>
                  <w:szCs w:val="18"/>
                </w:rPr>
                <w:t>http://teachecnationalcenter.org/</w:t>
              </w:r>
            </w:hyperlink>
          </w:p>
        </w:tc>
        <w:tc>
          <w:tcPr>
            <w:tcW w:w="2250" w:type="dxa"/>
          </w:tcPr>
          <w:p w14:paraId="1F4A1873" w14:textId="77777777" w:rsidR="00CA7477" w:rsidRPr="00F115E5" w:rsidRDefault="00CA7477" w:rsidP="0099185D">
            <w:pPr>
              <w:jc w:val="center"/>
              <w:rPr>
                <w:rFonts w:asciiTheme="minorHAnsi" w:hAnsiTheme="minorHAnsi"/>
                <w:sz w:val="19"/>
                <w:szCs w:val="19"/>
              </w:rPr>
            </w:pPr>
          </w:p>
        </w:tc>
      </w:tr>
      <w:tr w:rsidR="00CA7477" w14:paraId="3E1B4DD5" w14:textId="77777777" w:rsidTr="00210234">
        <w:tc>
          <w:tcPr>
            <w:tcW w:w="1710" w:type="dxa"/>
            <w:vMerge w:val="restart"/>
            <w:shd w:val="clear" w:color="auto" w:fill="F2DBDB" w:themeFill="accent2" w:themeFillTint="33"/>
          </w:tcPr>
          <w:p w14:paraId="454796CE" w14:textId="77777777" w:rsidR="00CA7477" w:rsidRDefault="00CA7477">
            <w:pPr>
              <w:rPr>
                <w:rFonts w:asciiTheme="minorHAnsi" w:eastAsia="Times New Roman" w:hAnsiTheme="minorHAnsi" w:cs="Times New Roman"/>
                <w:sz w:val="20"/>
                <w:szCs w:val="20"/>
              </w:rPr>
            </w:pPr>
          </w:p>
          <w:p w14:paraId="667137F2" w14:textId="77777777" w:rsidR="00CA7477" w:rsidRDefault="00CA7477">
            <w:pPr>
              <w:rPr>
                <w:rFonts w:asciiTheme="minorHAnsi" w:eastAsia="Times New Roman" w:hAnsiTheme="minorHAnsi" w:cs="Times New Roman"/>
                <w:sz w:val="20"/>
                <w:szCs w:val="20"/>
              </w:rPr>
            </w:pPr>
          </w:p>
          <w:p w14:paraId="207C3A53" w14:textId="77777777" w:rsidR="00CA7477" w:rsidRDefault="00CA7477">
            <w:pPr>
              <w:rPr>
                <w:rFonts w:asciiTheme="minorHAnsi" w:eastAsia="Times New Roman" w:hAnsiTheme="minorHAnsi" w:cs="Times New Roman"/>
                <w:sz w:val="20"/>
                <w:szCs w:val="20"/>
              </w:rPr>
            </w:pPr>
          </w:p>
          <w:p w14:paraId="58D63BD9" w14:textId="77777777" w:rsidR="00CA7477" w:rsidRDefault="00CA7477">
            <w:pPr>
              <w:rPr>
                <w:rFonts w:asciiTheme="minorHAnsi" w:eastAsia="Times New Roman" w:hAnsiTheme="minorHAnsi" w:cs="Times New Roman"/>
                <w:sz w:val="20"/>
                <w:szCs w:val="20"/>
              </w:rPr>
            </w:pPr>
          </w:p>
          <w:p w14:paraId="618FBB6A" w14:textId="4C853845" w:rsidR="00CA7477" w:rsidRPr="00A007DE" w:rsidRDefault="00CA7477">
            <w:pPr>
              <w:rPr>
                <w:rFonts w:asciiTheme="minorHAnsi" w:hAnsiTheme="minorHAnsi"/>
                <w:sz w:val="20"/>
                <w:szCs w:val="20"/>
              </w:rPr>
            </w:pPr>
            <w:r w:rsidRPr="00A007DE">
              <w:rPr>
                <w:rFonts w:asciiTheme="minorHAnsi" w:eastAsia="Times New Roman" w:hAnsiTheme="minorHAnsi" w:cs="Times New Roman"/>
                <w:sz w:val="20"/>
                <w:szCs w:val="20"/>
              </w:rPr>
              <w:t>Apprenticeship-specific initiatives</w:t>
            </w:r>
          </w:p>
        </w:tc>
        <w:tc>
          <w:tcPr>
            <w:tcW w:w="540" w:type="dxa"/>
          </w:tcPr>
          <w:p w14:paraId="6215C38C" w14:textId="51B54ECD" w:rsidR="00CA7477" w:rsidRPr="00F115E5" w:rsidRDefault="00CA7477" w:rsidP="005E223B">
            <w:pPr>
              <w:pStyle w:val="ListParagraph"/>
              <w:numPr>
                <w:ilvl w:val="0"/>
                <w:numId w:val="37"/>
              </w:numPr>
              <w:ind w:left="288"/>
              <w:jc w:val="center"/>
              <w:rPr>
                <w:rFonts w:asciiTheme="minorHAnsi" w:hAnsiTheme="minorHAnsi" w:cs="Times New Roman"/>
                <w:sz w:val="19"/>
                <w:szCs w:val="19"/>
              </w:rPr>
            </w:pPr>
          </w:p>
        </w:tc>
        <w:tc>
          <w:tcPr>
            <w:tcW w:w="9810" w:type="dxa"/>
          </w:tcPr>
          <w:p w14:paraId="77FBBD3B" w14:textId="77777777" w:rsidR="00CA7477" w:rsidRPr="00F115E5" w:rsidRDefault="00CA7477" w:rsidP="00770537">
            <w:pPr>
              <w:rPr>
                <w:rFonts w:asciiTheme="minorHAnsi" w:hAnsiTheme="minorHAnsi"/>
                <w:color w:val="auto"/>
                <w:sz w:val="19"/>
                <w:szCs w:val="19"/>
              </w:rPr>
            </w:pPr>
            <w:r w:rsidRPr="00F115E5">
              <w:rPr>
                <w:rFonts w:asciiTheme="minorHAnsi" w:hAnsiTheme="minorHAnsi"/>
                <w:color w:val="auto"/>
                <w:sz w:val="19"/>
                <w:szCs w:val="19"/>
              </w:rPr>
              <w:t xml:space="preserve">The goals of the $100 million </w:t>
            </w:r>
            <w:r w:rsidRPr="00F115E5">
              <w:rPr>
                <w:rFonts w:asciiTheme="minorHAnsi" w:hAnsiTheme="minorHAnsi"/>
                <w:b/>
                <w:color w:val="auto"/>
                <w:sz w:val="19"/>
                <w:szCs w:val="19"/>
              </w:rPr>
              <w:t>American Apprenticeship Grant program</w:t>
            </w:r>
            <w:r w:rsidRPr="00F115E5">
              <w:rPr>
                <w:rFonts w:asciiTheme="minorHAnsi" w:hAnsiTheme="minorHAnsi"/>
                <w:color w:val="auto"/>
                <w:sz w:val="19"/>
                <w:szCs w:val="19"/>
              </w:rPr>
              <w:t xml:space="preserve"> include creating career pathways that encompass American Apprenticeship in high growth industries and align with other post-secondary educational offerings.</w:t>
            </w:r>
          </w:p>
        </w:tc>
        <w:tc>
          <w:tcPr>
            <w:tcW w:w="2250" w:type="dxa"/>
          </w:tcPr>
          <w:p w14:paraId="0F976571" w14:textId="77777777" w:rsidR="00CA7477" w:rsidRPr="00F115E5" w:rsidRDefault="00CA7477" w:rsidP="0099185D">
            <w:pPr>
              <w:jc w:val="center"/>
              <w:rPr>
                <w:rFonts w:asciiTheme="minorHAnsi" w:hAnsiTheme="minorHAnsi"/>
                <w:color w:val="auto"/>
                <w:sz w:val="19"/>
                <w:szCs w:val="19"/>
              </w:rPr>
            </w:pPr>
            <w:r w:rsidRPr="00F115E5">
              <w:rPr>
                <w:rFonts w:asciiTheme="minorHAnsi" w:eastAsia="Times New Roman" w:hAnsiTheme="minorHAnsi" w:cs="Times New Roman"/>
                <w:color w:val="auto"/>
                <w:sz w:val="19"/>
                <w:szCs w:val="19"/>
              </w:rPr>
              <w:t>U.S. Department of Labor</w:t>
            </w:r>
          </w:p>
        </w:tc>
      </w:tr>
      <w:tr w:rsidR="00CA7477" w14:paraId="7C659018" w14:textId="77777777" w:rsidTr="00210234">
        <w:tc>
          <w:tcPr>
            <w:tcW w:w="1710" w:type="dxa"/>
            <w:vMerge/>
            <w:shd w:val="clear" w:color="auto" w:fill="F2DBDB" w:themeFill="accent2" w:themeFillTint="33"/>
          </w:tcPr>
          <w:p w14:paraId="3885BD8B" w14:textId="77777777" w:rsidR="00CA7477" w:rsidRPr="00A007DE" w:rsidRDefault="00CA7477">
            <w:pPr>
              <w:rPr>
                <w:sz w:val="20"/>
                <w:szCs w:val="20"/>
              </w:rPr>
            </w:pPr>
          </w:p>
        </w:tc>
        <w:tc>
          <w:tcPr>
            <w:tcW w:w="540" w:type="dxa"/>
          </w:tcPr>
          <w:p w14:paraId="7DC55D2D" w14:textId="24C87F67" w:rsidR="00CA7477" w:rsidRPr="00F115E5" w:rsidRDefault="00CA7477" w:rsidP="005E223B">
            <w:pPr>
              <w:pStyle w:val="ListParagraph"/>
              <w:numPr>
                <w:ilvl w:val="0"/>
                <w:numId w:val="37"/>
              </w:numPr>
              <w:ind w:left="288"/>
              <w:jc w:val="center"/>
              <w:rPr>
                <w:rFonts w:asciiTheme="minorHAnsi" w:hAnsiTheme="minorHAnsi" w:cs="Times New Roman"/>
                <w:sz w:val="19"/>
                <w:szCs w:val="19"/>
              </w:rPr>
            </w:pPr>
          </w:p>
        </w:tc>
        <w:tc>
          <w:tcPr>
            <w:tcW w:w="9810" w:type="dxa"/>
          </w:tcPr>
          <w:p w14:paraId="179485D4" w14:textId="77777777" w:rsidR="00CA7477" w:rsidRPr="00F115E5" w:rsidRDefault="00CA7477" w:rsidP="00770537">
            <w:pPr>
              <w:rPr>
                <w:rFonts w:asciiTheme="minorHAnsi" w:hAnsiTheme="minorHAnsi"/>
                <w:color w:val="auto"/>
                <w:sz w:val="19"/>
                <w:szCs w:val="19"/>
              </w:rPr>
            </w:pPr>
            <w:r w:rsidRPr="00F115E5">
              <w:rPr>
                <w:rFonts w:asciiTheme="minorHAnsi" w:hAnsiTheme="minorHAnsi"/>
                <w:b/>
                <w:color w:val="auto"/>
                <w:sz w:val="19"/>
                <w:szCs w:val="19"/>
              </w:rPr>
              <w:t>Technical assistance academy</w:t>
            </w:r>
            <w:r w:rsidRPr="00F115E5">
              <w:rPr>
                <w:rFonts w:asciiTheme="minorHAnsi" w:hAnsiTheme="minorHAnsi"/>
                <w:color w:val="auto"/>
                <w:sz w:val="19"/>
                <w:szCs w:val="19"/>
              </w:rPr>
              <w:t xml:space="preserve"> for recipients of the US Department of Labor’s American Apprenticeship grant program.</w:t>
            </w:r>
          </w:p>
        </w:tc>
        <w:tc>
          <w:tcPr>
            <w:tcW w:w="2250" w:type="dxa"/>
          </w:tcPr>
          <w:p w14:paraId="37DEE0DF" w14:textId="110D3AB9" w:rsidR="00CA7477" w:rsidRPr="00F115E5" w:rsidRDefault="00CA7477" w:rsidP="0020327A">
            <w:pPr>
              <w:jc w:val="center"/>
              <w:rPr>
                <w:rFonts w:asciiTheme="minorHAnsi" w:hAnsiTheme="minorHAnsi"/>
                <w:color w:val="auto"/>
                <w:sz w:val="19"/>
                <w:szCs w:val="19"/>
              </w:rPr>
            </w:pPr>
            <w:r w:rsidRPr="00F115E5">
              <w:rPr>
                <w:rFonts w:asciiTheme="minorHAnsi" w:hAnsiTheme="minorHAnsi"/>
                <w:color w:val="auto"/>
                <w:sz w:val="19"/>
                <w:szCs w:val="19"/>
              </w:rPr>
              <w:t>N</w:t>
            </w:r>
            <w:r>
              <w:rPr>
                <w:rFonts w:asciiTheme="minorHAnsi" w:hAnsiTheme="minorHAnsi"/>
                <w:color w:val="auto"/>
                <w:sz w:val="19"/>
                <w:szCs w:val="19"/>
              </w:rPr>
              <w:t xml:space="preserve">ational Governors Association </w:t>
            </w:r>
            <w:r w:rsidRPr="00F115E5">
              <w:rPr>
                <w:rFonts w:asciiTheme="minorHAnsi" w:hAnsiTheme="minorHAnsi"/>
                <w:color w:val="auto"/>
                <w:sz w:val="19"/>
                <w:szCs w:val="19"/>
              </w:rPr>
              <w:t>Center for Best Practices</w:t>
            </w:r>
          </w:p>
        </w:tc>
      </w:tr>
      <w:tr w:rsidR="00CA7477" w14:paraId="1E202E1F" w14:textId="77777777" w:rsidTr="00210234">
        <w:tc>
          <w:tcPr>
            <w:tcW w:w="1710" w:type="dxa"/>
            <w:vMerge/>
            <w:shd w:val="clear" w:color="auto" w:fill="F2DBDB" w:themeFill="accent2" w:themeFillTint="33"/>
          </w:tcPr>
          <w:p w14:paraId="5F55D4B0" w14:textId="77777777" w:rsidR="00CA7477" w:rsidRPr="00A007DE" w:rsidRDefault="00CA7477">
            <w:pPr>
              <w:rPr>
                <w:sz w:val="20"/>
                <w:szCs w:val="20"/>
              </w:rPr>
            </w:pPr>
          </w:p>
        </w:tc>
        <w:tc>
          <w:tcPr>
            <w:tcW w:w="540" w:type="dxa"/>
          </w:tcPr>
          <w:p w14:paraId="7ACD5A65" w14:textId="4AB34794" w:rsidR="00CA7477" w:rsidRPr="00F115E5" w:rsidRDefault="00CA7477" w:rsidP="005E223B">
            <w:pPr>
              <w:pStyle w:val="ListParagraph"/>
              <w:numPr>
                <w:ilvl w:val="0"/>
                <w:numId w:val="37"/>
              </w:numPr>
              <w:ind w:left="288"/>
              <w:jc w:val="center"/>
              <w:rPr>
                <w:rFonts w:asciiTheme="minorHAnsi" w:hAnsiTheme="minorHAnsi" w:cs="Times New Roman"/>
                <w:sz w:val="19"/>
                <w:szCs w:val="19"/>
              </w:rPr>
            </w:pPr>
          </w:p>
        </w:tc>
        <w:tc>
          <w:tcPr>
            <w:tcW w:w="9810" w:type="dxa"/>
          </w:tcPr>
          <w:p w14:paraId="4F20FB5A" w14:textId="0DD7D189" w:rsidR="00CA7477" w:rsidRPr="00F115E5" w:rsidRDefault="00CA7477" w:rsidP="00A96F04">
            <w:pPr>
              <w:rPr>
                <w:rFonts w:asciiTheme="minorHAnsi" w:hAnsiTheme="minorHAnsi"/>
                <w:color w:val="auto"/>
                <w:sz w:val="19"/>
                <w:szCs w:val="19"/>
              </w:rPr>
            </w:pPr>
            <w:r w:rsidRPr="00F115E5">
              <w:rPr>
                <w:rFonts w:asciiTheme="minorHAnsi" w:hAnsiTheme="minorHAnsi"/>
                <w:color w:val="auto"/>
                <w:sz w:val="19"/>
                <w:szCs w:val="19"/>
              </w:rPr>
              <w:t xml:space="preserve">The </w:t>
            </w:r>
            <w:r w:rsidRPr="00F115E5">
              <w:rPr>
                <w:rFonts w:asciiTheme="minorHAnsi" w:hAnsiTheme="minorHAnsi"/>
                <w:b/>
                <w:color w:val="auto"/>
                <w:sz w:val="19"/>
                <w:szCs w:val="19"/>
              </w:rPr>
              <w:t xml:space="preserve">Registered Apprenticeship College Consortium (RACC) </w:t>
            </w:r>
            <w:r w:rsidRPr="00F115E5">
              <w:rPr>
                <w:rFonts w:asciiTheme="minorHAnsi" w:hAnsiTheme="minorHAnsi"/>
                <w:color w:val="auto"/>
                <w:sz w:val="19"/>
                <w:szCs w:val="19"/>
              </w:rPr>
              <w:t>is a national network of postsecondary institutions, employers, unions and associations working to provide accelerated pathways to earn an associate’s or bachelor’s degree by giving college credit for apprenticeship program participation:</w:t>
            </w:r>
            <w:hyperlink r:id="rId51">
              <w:r w:rsidRPr="00F115E5">
                <w:rPr>
                  <w:rFonts w:asciiTheme="minorHAnsi" w:hAnsiTheme="minorHAnsi"/>
                  <w:color w:val="auto"/>
                  <w:sz w:val="19"/>
                  <w:szCs w:val="19"/>
                </w:rPr>
                <w:t xml:space="preserve"> </w:t>
              </w:r>
            </w:hyperlink>
            <w:hyperlink r:id="rId52">
              <w:r w:rsidRPr="00F115E5">
                <w:rPr>
                  <w:rFonts w:asciiTheme="minorHAnsi" w:hAnsiTheme="minorHAnsi"/>
                  <w:color w:val="auto"/>
                  <w:sz w:val="19"/>
                  <w:szCs w:val="19"/>
                  <w:u w:val="single"/>
                </w:rPr>
                <w:t>http://doleta.gov/oa/racc.cfm</w:t>
              </w:r>
            </w:hyperlink>
          </w:p>
        </w:tc>
        <w:tc>
          <w:tcPr>
            <w:tcW w:w="2250" w:type="dxa"/>
          </w:tcPr>
          <w:p w14:paraId="3F5795F2" w14:textId="77777777" w:rsidR="00CA7477" w:rsidRPr="00F115E5" w:rsidRDefault="00CA7477" w:rsidP="0099185D">
            <w:pPr>
              <w:jc w:val="center"/>
              <w:rPr>
                <w:rFonts w:asciiTheme="minorHAnsi" w:hAnsiTheme="minorHAnsi"/>
                <w:color w:val="auto"/>
                <w:sz w:val="19"/>
                <w:szCs w:val="19"/>
              </w:rPr>
            </w:pPr>
            <w:r w:rsidRPr="00F115E5">
              <w:rPr>
                <w:rFonts w:asciiTheme="minorHAnsi" w:eastAsia="Times New Roman" w:hAnsiTheme="minorHAnsi" w:cs="Times New Roman"/>
                <w:color w:val="auto"/>
                <w:sz w:val="19"/>
                <w:szCs w:val="19"/>
              </w:rPr>
              <w:t>U.S. Department of Education and Labor</w:t>
            </w:r>
          </w:p>
        </w:tc>
      </w:tr>
      <w:tr w:rsidR="00CA7477" w14:paraId="4ECBC473" w14:textId="77777777" w:rsidTr="00210234">
        <w:tc>
          <w:tcPr>
            <w:tcW w:w="1710" w:type="dxa"/>
            <w:vMerge/>
            <w:shd w:val="clear" w:color="auto" w:fill="F2DBDB" w:themeFill="accent2" w:themeFillTint="33"/>
          </w:tcPr>
          <w:p w14:paraId="5396207F" w14:textId="77777777" w:rsidR="00CA7477" w:rsidRPr="00A007DE" w:rsidRDefault="00CA7477">
            <w:pPr>
              <w:rPr>
                <w:sz w:val="20"/>
                <w:szCs w:val="20"/>
              </w:rPr>
            </w:pPr>
          </w:p>
        </w:tc>
        <w:tc>
          <w:tcPr>
            <w:tcW w:w="540" w:type="dxa"/>
          </w:tcPr>
          <w:p w14:paraId="41697BAF" w14:textId="23D64456" w:rsidR="00CA7477" w:rsidRPr="00F115E5" w:rsidRDefault="00CA7477" w:rsidP="005E223B">
            <w:pPr>
              <w:pStyle w:val="ListParagraph"/>
              <w:numPr>
                <w:ilvl w:val="0"/>
                <w:numId w:val="37"/>
              </w:numPr>
              <w:ind w:left="288"/>
              <w:jc w:val="center"/>
              <w:rPr>
                <w:rFonts w:asciiTheme="minorHAnsi" w:hAnsiTheme="minorHAnsi" w:cs="Times New Roman"/>
                <w:sz w:val="19"/>
                <w:szCs w:val="19"/>
              </w:rPr>
            </w:pPr>
          </w:p>
        </w:tc>
        <w:tc>
          <w:tcPr>
            <w:tcW w:w="9810" w:type="dxa"/>
          </w:tcPr>
          <w:p w14:paraId="06BAB05C" w14:textId="61CE08F1" w:rsidR="00CA7477" w:rsidRPr="00F115E5" w:rsidRDefault="00CA7477" w:rsidP="00770537">
            <w:pPr>
              <w:rPr>
                <w:rFonts w:asciiTheme="minorHAnsi" w:hAnsiTheme="minorHAnsi"/>
                <w:color w:val="auto"/>
                <w:sz w:val="19"/>
                <w:szCs w:val="19"/>
              </w:rPr>
            </w:pPr>
            <w:r w:rsidRPr="00B4150E">
              <w:rPr>
                <w:rFonts w:asciiTheme="minorHAnsi" w:hAnsiTheme="minorHAnsi"/>
                <w:color w:val="auto"/>
                <w:sz w:val="19"/>
                <w:szCs w:val="19"/>
              </w:rPr>
              <w:t>Economist-led</w:t>
            </w:r>
            <w:r w:rsidRPr="00F115E5">
              <w:rPr>
                <w:rFonts w:asciiTheme="minorHAnsi" w:hAnsiTheme="minorHAnsi"/>
                <w:b/>
                <w:color w:val="auto"/>
                <w:sz w:val="19"/>
                <w:szCs w:val="19"/>
              </w:rPr>
              <w:t xml:space="preserve"> case study of return on investment of registered</w:t>
            </w:r>
            <w:r w:rsidRPr="00B4150E">
              <w:rPr>
                <w:rFonts w:asciiTheme="minorHAnsi" w:hAnsiTheme="minorHAnsi"/>
                <w:b/>
                <w:color w:val="auto"/>
                <w:sz w:val="19"/>
                <w:szCs w:val="19"/>
              </w:rPr>
              <w:t xml:space="preserve"> apprenticeship</w:t>
            </w:r>
            <w:r w:rsidRPr="00F115E5">
              <w:rPr>
                <w:rFonts w:asciiTheme="minorHAnsi" w:hAnsiTheme="minorHAnsi"/>
                <w:color w:val="auto"/>
                <w:sz w:val="19"/>
                <w:szCs w:val="19"/>
              </w:rPr>
              <w:t xml:space="preserve"> for U.S. employers will analyze the training investments of diverse firms to uncover how employers committed to registered apprenticeship account for costs and benefits of the training model.</w:t>
            </w:r>
          </w:p>
        </w:tc>
        <w:tc>
          <w:tcPr>
            <w:tcW w:w="2250" w:type="dxa"/>
          </w:tcPr>
          <w:p w14:paraId="430C6D59" w14:textId="3EDD5C35" w:rsidR="00CA7477" w:rsidRPr="00F115E5" w:rsidRDefault="00CA7477" w:rsidP="00E84FA2">
            <w:pPr>
              <w:jc w:val="center"/>
              <w:rPr>
                <w:rFonts w:asciiTheme="minorHAnsi" w:hAnsiTheme="minorHAnsi"/>
                <w:sz w:val="19"/>
                <w:szCs w:val="19"/>
              </w:rPr>
            </w:pPr>
            <w:r w:rsidRPr="00F115E5">
              <w:rPr>
                <w:rFonts w:asciiTheme="minorHAnsi" w:hAnsiTheme="minorHAnsi"/>
                <w:sz w:val="19"/>
                <w:szCs w:val="19"/>
              </w:rPr>
              <w:t>US Dep</w:t>
            </w:r>
            <w:r>
              <w:rPr>
                <w:rFonts w:asciiTheme="minorHAnsi" w:hAnsiTheme="minorHAnsi"/>
                <w:sz w:val="19"/>
                <w:szCs w:val="19"/>
              </w:rPr>
              <w:t>artment</w:t>
            </w:r>
            <w:r w:rsidRPr="00F115E5">
              <w:rPr>
                <w:rFonts w:asciiTheme="minorHAnsi" w:hAnsiTheme="minorHAnsi"/>
                <w:sz w:val="19"/>
                <w:szCs w:val="19"/>
              </w:rPr>
              <w:t xml:space="preserve"> of Commerce</w:t>
            </w:r>
            <w:r>
              <w:rPr>
                <w:rFonts w:asciiTheme="minorHAnsi" w:hAnsiTheme="minorHAnsi"/>
                <w:sz w:val="19"/>
                <w:szCs w:val="19"/>
              </w:rPr>
              <w:t>;</w:t>
            </w:r>
            <w:r w:rsidRPr="00F115E5">
              <w:rPr>
                <w:rFonts w:asciiTheme="minorHAnsi" w:hAnsiTheme="minorHAnsi"/>
                <w:sz w:val="19"/>
                <w:szCs w:val="19"/>
              </w:rPr>
              <w:t xml:space="preserve"> Joyce</w:t>
            </w:r>
            <w:r>
              <w:rPr>
                <w:rFonts w:asciiTheme="minorHAnsi" w:hAnsiTheme="minorHAnsi"/>
                <w:sz w:val="19"/>
                <w:szCs w:val="19"/>
              </w:rPr>
              <w:t>,</w:t>
            </w:r>
            <w:r w:rsidRPr="00F115E5">
              <w:rPr>
                <w:rFonts w:asciiTheme="minorHAnsi" w:hAnsiTheme="minorHAnsi"/>
                <w:sz w:val="19"/>
                <w:szCs w:val="19"/>
              </w:rPr>
              <w:t xml:space="preserve"> JPMorgan Chase </w:t>
            </w:r>
            <w:r>
              <w:rPr>
                <w:rFonts w:asciiTheme="minorHAnsi" w:hAnsiTheme="minorHAnsi"/>
                <w:sz w:val="19"/>
                <w:szCs w:val="19"/>
              </w:rPr>
              <w:t xml:space="preserve">&amp; </w:t>
            </w:r>
            <w:r w:rsidRPr="00F115E5">
              <w:rPr>
                <w:rFonts w:asciiTheme="minorHAnsi" w:hAnsiTheme="minorHAnsi"/>
                <w:sz w:val="19"/>
                <w:szCs w:val="19"/>
              </w:rPr>
              <w:t>Annie E. Casey Foundations</w:t>
            </w:r>
            <w:r>
              <w:rPr>
                <w:rFonts w:asciiTheme="minorHAnsi" w:hAnsiTheme="minorHAnsi"/>
                <w:sz w:val="19"/>
                <w:szCs w:val="19"/>
              </w:rPr>
              <w:t>;</w:t>
            </w:r>
            <w:r w:rsidRPr="00F115E5">
              <w:rPr>
                <w:rFonts w:asciiTheme="minorHAnsi" w:hAnsiTheme="minorHAnsi"/>
                <w:sz w:val="19"/>
                <w:szCs w:val="19"/>
              </w:rPr>
              <w:t xml:space="preserve"> Case Western Reserve University</w:t>
            </w:r>
          </w:p>
        </w:tc>
      </w:tr>
      <w:tr w:rsidR="00CA7477" w14:paraId="6D6EB2DF" w14:textId="77777777" w:rsidTr="00210234">
        <w:tc>
          <w:tcPr>
            <w:tcW w:w="1710" w:type="dxa"/>
            <w:vMerge/>
            <w:shd w:val="clear" w:color="auto" w:fill="F2DBDB" w:themeFill="accent2" w:themeFillTint="33"/>
          </w:tcPr>
          <w:p w14:paraId="7A3C56CD" w14:textId="77777777" w:rsidR="00CA7477" w:rsidRPr="00A007DE" w:rsidRDefault="00CA7477">
            <w:pPr>
              <w:rPr>
                <w:sz w:val="20"/>
                <w:szCs w:val="20"/>
              </w:rPr>
            </w:pPr>
          </w:p>
        </w:tc>
        <w:tc>
          <w:tcPr>
            <w:tcW w:w="540" w:type="dxa"/>
          </w:tcPr>
          <w:p w14:paraId="77DAED4E" w14:textId="5465AA1F" w:rsidR="00CA7477" w:rsidRPr="00F115E5" w:rsidRDefault="00CA7477" w:rsidP="005E223B">
            <w:pPr>
              <w:pStyle w:val="ListParagraph"/>
              <w:numPr>
                <w:ilvl w:val="0"/>
                <w:numId w:val="37"/>
              </w:numPr>
              <w:ind w:left="288"/>
              <w:jc w:val="center"/>
              <w:rPr>
                <w:rFonts w:asciiTheme="minorHAnsi" w:hAnsiTheme="minorHAnsi" w:cs="Times New Roman"/>
                <w:sz w:val="19"/>
                <w:szCs w:val="19"/>
              </w:rPr>
            </w:pPr>
          </w:p>
        </w:tc>
        <w:tc>
          <w:tcPr>
            <w:tcW w:w="9810" w:type="dxa"/>
          </w:tcPr>
          <w:p w14:paraId="4FE4B6CD" w14:textId="77777777" w:rsidR="00CA7477" w:rsidRPr="00F115E5" w:rsidRDefault="00CA7477" w:rsidP="00770537">
            <w:pPr>
              <w:rPr>
                <w:rFonts w:asciiTheme="minorHAnsi" w:hAnsiTheme="minorHAnsi"/>
                <w:b/>
                <w:color w:val="auto"/>
                <w:sz w:val="19"/>
                <w:szCs w:val="19"/>
              </w:rPr>
            </w:pPr>
            <w:r w:rsidRPr="00F115E5">
              <w:rPr>
                <w:rFonts w:asciiTheme="minorHAnsi" w:hAnsiTheme="minorHAnsi"/>
                <w:color w:val="auto"/>
                <w:sz w:val="19"/>
                <w:szCs w:val="19"/>
              </w:rPr>
              <w:t xml:space="preserve">Issued 5 case studies on </w:t>
            </w:r>
            <w:r w:rsidRPr="00F115E5">
              <w:rPr>
                <w:rFonts w:asciiTheme="minorHAnsi" w:hAnsiTheme="minorHAnsi"/>
                <w:b/>
                <w:color w:val="auto"/>
                <w:sz w:val="19"/>
                <w:szCs w:val="19"/>
              </w:rPr>
              <w:t>Innovations in Apprenticeship:</w:t>
            </w:r>
          </w:p>
          <w:p w14:paraId="2C94FF31" w14:textId="4F8CCA1D" w:rsidR="00CA7477" w:rsidRPr="00F115E5" w:rsidRDefault="008555A9" w:rsidP="00770537">
            <w:pPr>
              <w:rPr>
                <w:rFonts w:asciiTheme="minorHAnsi" w:hAnsiTheme="minorHAnsi"/>
                <w:color w:val="auto"/>
                <w:sz w:val="19"/>
                <w:szCs w:val="19"/>
              </w:rPr>
            </w:pPr>
            <w:hyperlink r:id="rId53">
              <w:r w:rsidR="00CA7477" w:rsidRPr="00F115E5">
                <w:rPr>
                  <w:rFonts w:asciiTheme="minorHAnsi" w:hAnsiTheme="minorHAnsi"/>
                  <w:color w:val="auto"/>
                  <w:sz w:val="19"/>
                  <w:szCs w:val="19"/>
                  <w:u w:val="single"/>
                </w:rPr>
                <w:t>https://cdn.americanprogress.org/wp-content/uploads/2014/09/ApprenticeshipInnov-report1.pdf</w:t>
              </w:r>
            </w:hyperlink>
          </w:p>
          <w:p w14:paraId="6B0EBF48" w14:textId="77777777" w:rsidR="00CA7477" w:rsidRPr="00F115E5" w:rsidRDefault="00CA7477">
            <w:pPr>
              <w:rPr>
                <w:rFonts w:asciiTheme="minorHAnsi" w:hAnsiTheme="minorHAnsi"/>
                <w:color w:val="auto"/>
                <w:sz w:val="19"/>
                <w:szCs w:val="19"/>
              </w:rPr>
            </w:pPr>
          </w:p>
        </w:tc>
        <w:tc>
          <w:tcPr>
            <w:tcW w:w="2250" w:type="dxa"/>
          </w:tcPr>
          <w:p w14:paraId="2FCD2E1C" w14:textId="77777777" w:rsidR="00CA7477" w:rsidRPr="00F115E5" w:rsidRDefault="00CA7477" w:rsidP="0099185D">
            <w:pPr>
              <w:jc w:val="center"/>
              <w:rPr>
                <w:rFonts w:asciiTheme="minorHAnsi" w:hAnsiTheme="minorHAnsi"/>
                <w:sz w:val="19"/>
                <w:szCs w:val="19"/>
              </w:rPr>
            </w:pPr>
            <w:r w:rsidRPr="00F115E5">
              <w:rPr>
                <w:rFonts w:asciiTheme="minorHAnsi" w:hAnsiTheme="minorHAnsi"/>
                <w:sz w:val="19"/>
                <w:szCs w:val="19"/>
              </w:rPr>
              <w:t>Center for American Progress</w:t>
            </w:r>
          </w:p>
        </w:tc>
      </w:tr>
      <w:tr w:rsidR="00CA7477" w14:paraId="03B8FAC3" w14:textId="77777777" w:rsidTr="00210234">
        <w:tc>
          <w:tcPr>
            <w:tcW w:w="1710" w:type="dxa"/>
            <w:vMerge/>
            <w:shd w:val="clear" w:color="auto" w:fill="F2DBDB" w:themeFill="accent2" w:themeFillTint="33"/>
          </w:tcPr>
          <w:p w14:paraId="4AD118E3" w14:textId="77777777" w:rsidR="00CA7477" w:rsidRPr="00A007DE" w:rsidRDefault="00CA7477">
            <w:pPr>
              <w:rPr>
                <w:sz w:val="20"/>
                <w:szCs w:val="20"/>
              </w:rPr>
            </w:pPr>
          </w:p>
        </w:tc>
        <w:tc>
          <w:tcPr>
            <w:tcW w:w="540" w:type="dxa"/>
          </w:tcPr>
          <w:p w14:paraId="52B48A51" w14:textId="7A0DF4CE" w:rsidR="00CA7477" w:rsidRPr="00F115E5" w:rsidRDefault="00CA7477" w:rsidP="005E223B">
            <w:pPr>
              <w:pStyle w:val="ListParagraph"/>
              <w:numPr>
                <w:ilvl w:val="0"/>
                <w:numId w:val="37"/>
              </w:numPr>
              <w:ind w:left="288"/>
              <w:jc w:val="center"/>
              <w:rPr>
                <w:rFonts w:asciiTheme="minorHAnsi" w:hAnsiTheme="minorHAnsi" w:cs="Times New Roman"/>
                <w:b/>
                <w:sz w:val="19"/>
                <w:szCs w:val="19"/>
              </w:rPr>
            </w:pPr>
          </w:p>
        </w:tc>
        <w:tc>
          <w:tcPr>
            <w:tcW w:w="9810" w:type="dxa"/>
          </w:tcPr>
          <w:p w14:paraId="732B14B2" w14:textId="5170364C" w:rsidR="00CA7477" w:rsidRPr="00F115E5" w:rsidRDefault="00CA7477" w:rsidP="00A27EA8">
            <w:pPr>
              <w:rPr>
                <w:rFonts w:asciiTheme="minorHAnsi" w:hAnsiTheme="minorHAnsi"/>
                <w:color w:val="auto"/>
                <w:sz w:val="19"/>
                <w:szCs w:val="19"/>
              </w:rPr>
            </w:pPr>
            <w:r w:rsidRPr="00F115E5">
              <w:rPr>
                <w:rFonts w:asciiTheme="minorHAnsi" w:hAnsiTheme="minorHAnsi"/>
                <w:color w:val="auto"/>
                <w:sz w:val="19"/>
                <w:szCs w:val="19"/>
              </w:rPr>
              <w:t xml:space="preserve">Issued </w:t>
            </w:r>
            <w:r w:rsidRPr="00B4150E">
              <w:rPr>
                <w:rFonts w:asciiTheme="minorHAnsi" w:hAnsiTheme="minorHAnsi"/>
                <w:b/>
                <w:color w:val="auto"/>
                <w:sz w:val="19"/>
                <w:szCs w:val="19"/>
              </w:rPr>
              <w:t xml:space="preserve">Employer Apprenticeship handbook </w:t>
            </w:r>
            <w:hyperlink r:id="rId54">
              <w:r w:rsidRPr="00F115E5">
                <w:rPr>
                  <w:rFonts w:asciiTheme="minorHAnsi" w:hAnsiTheme="minorHAnsi"/>
                  <w:color w:val="auto"/>
                  <w:sz w:val="19"/>
                  <w:szCs w:val="19"/>
                  <w:u w:val="single"/>
                </w:rPr>
                <w:t>http://www.themanufacturinginstitute.org/~/media/14B36E1969704C3BADF11A1BE0F21B3D.ashx</w:t>
              </w:r>
            </w:hyperlink>
          </w:p>
        </w:tc>
        <w:tc>
          <w:tcPr>
            <w:tcW w:w="2250" w:type="dxa"/>
          </w:tcPr>
          <w:p w14:paraId="56C5F79C" w14:textId="52786119" w:rsidR="00CA7477" w:rsidRPr="00F115E5" w:rsidRDefault="00CA7477" w:rsidP="00072890">
            <w:pPr>
              <w:jc w:val="center"/>
              <w:rPr>
                <w:rFonts w:asciiTheme="minorHAnsi" w:hAnsiTheme="minorHAnsi"/>
                <w:sz w:val="19"/>
                <w:szCs w:val="19"/>
              </w:rPr>
            </w:pPr>
            <w:r w:rsidRPr="00F115E5">
              <w:rPr>
                <w:rFonts w:asciiTheme="minorHAnsi" w:hAnsiTheme="minorHAnsi"/>
                <w:sz w:val="19"/>
                <w:szCs w:val="19"/>
              </w:rPr>
              <w:t>Siemens, DOW Chemical Company, Alcoa</w:t>
            </w:r>
          </w:p>
        </w:tc>
      </w:tr>
      <w:tr w:rsidR="00CA7477" w14:paraId="2D792488" w14:textId="77777777" w:rsidTr="00210234">
        <w:tc>
          <w:tcPr>
            <w:tcW w:w="1710" w:type="dxa"/>
            <w:vMerge w:val="restart"/>
            <w:shd w:val="clear" w:color="auto" w:fill="F2DCDB"/>
          </w:tcPr>
          <w:p w14:paraId="146855D5" w14:textId="77777777" w:rsidR="00CA7477" w:rsidRPr="00A007DE" w:rsidRDefault="00CA7477">
            <w:pPr>
              <w:rPr>
                <w:rFonts w:asciiTheme="minorHAnsi" w:hAnsiTheme="minorHAnsi"/>
                <w:sz w:val="20"/>
                <w:szCs w:val="20"/>
              </w:rPr>
            </w:pPr>
            <w:r w:rsidRPr="00A007DE">
              <w:rPr>
                <w:rFonts w:asciiTheme="minorHAnsi" w:eastAsia="Times New Roman" w:hAnsiTheme="minorHAnsi" w:cs="Times New Roman"/>
                <w:sz w:val="20"/>
                <w:szCs w:val="20"/>
              </w:rPr>
              <w:t>Competency-based hiring</w:t>
            </w:r>
          </w:p>
          <w:p w14:paraId="01B18A33" w14:textId="77777777" w:rsidR="00CA7477" w:rsidRPr="00A007DE" w:rsidRDefault="00CA7477">
            <w:pPr>
              <w:rPr>
                <w:sz w:val="20"/>
                <w:szCs w:val="20"/>
              </w:rPr>
            </w:pPr>
          </w:p>
          <w:p w14:paraId="4B525656" w14:textId="77777777" w:rsidR="00CA7477" w:rsidRPr="00A007DE" w:rsidRDefault="00CA7477" w:rsidP="007122E0">
            <w:pPr>
              <w:rPr>
                <w:sz w:val="20"/>
                <w:szCs w:val="20"/>
              </w:rPr>
            </w:pPr>
          </w:p>
        </w:tc>
        <w:tc>
          <w:tcPr>
            <w:tcW w:w="540" w:type="dxa"/>
          </w:tcPr>
          <w:p w14:paraId="30C71023" w14:textId="33C09747" w:rsidR="00CA7477" w:rsidRPr="00F115E5" w:rsidRDefault="00CA7477" w:rsidP="005E223B">
            <w:pPr>
              <w:pStyle w:val="ListParagraph"/>
              <w:numPr>
                <w:ilvl w:val="0"/>
                <w:numId w:val="37"/>
              </w:numPr>
              <w:ind w:left="288"/>
              <w:jc w:val="center"/>
              <w:rPr>
                <w:rFonts w:asciiTheme="minorHAnsi" w:eastAsia="Times New Roman" w:hAnsiTheme="minorHAnsi" w:cs="Times New Roman"/>
                <w:b/>
                <w:sz w:val="19"/>
                <w:szCs w:val="19"/>
              </w:rPr>
            </w:pPr>
          </w:p>
        </w:tc>
        <w:tc>
          <w:tcPr>
            <w:tcW w:w="9810" w:type="dxa"/>
          </w:tcPr>
          <w:p w14:paraId="52636CA3" w14:textId="21DF678A" w:rsidR="00CA7477" w:rsidRPr="00F115E5" w:rsidRDefault="00CA7477" w:rsidP="00A27EA8">
            <w:pPr>
              <w:rPr>
                <w:rFonts w:asciiTheme="minorHAnsi" w:hAnsiTheme="minorHAnsi"/>
                <w:color w:val="auto"/>
                <w:sz w:val="19"/>
                <w:szCs w:val="19"/>
              </w:rPr>
            </w:pPr>
            <w:r w:rsidRPr="00F115E5">
              <w:rPr>
                <w:rFonts w:asciiTheme="minorHAnsi" w:eastAsia="Times New Roman" w:hAnsiTheme="minorHAnsi" w:cs="Times New Roman"/>
                <w:color w:val="auto"/>
                <w:sz w:val="19"/>
                <w:szCs w:val="19"/>
              </w:rPr>
              <w:t xml:space="preserve">Developing </w:t>
            </w:r>
            <w:r w:rsidRPr="00B4150E">
              <w:rPr>
                <w:rFonts w:asciiTheme="minorHAnsi" w:eastAsia="Times New Roman" w:hAnsiTheme="minorHAnsi" w:cs="Times New Roman"/>
                <w:b/>
                <w:color w:val="auto"/>
                <w:sz w:val="19"/>
                <w:szCs w:val="19"/>
              </w:rPr>
              <w:t>guid</w:t>
            </w:r>
            <w:r w:rsidRPr="00F115E5">
              <w:rPr>
                <w:rFonts w:asciiTheme="minorHAnsi" w:eastAsia="Times New Roman" w:hAnsiTheme="minorHAnsi" w:cs="Times New Roman"/>
                <w:color w:val="auto"/>
                <w:sz w:val="19"/>
                <w:szCs w:val="19"/>
              </w:rPr>
              <w:t xml:space="preserve">e to help organizations design new industry-recognized credentials and conducting </w:t>
            </w:r>
            <w:r w:rsidRPr="00B4150E">
              <w:rPr>
                <w:rFonts w:asciiTheme="minorHAnsi" w:eastAsia="Times New Roman" w:hAnsiTheme="minorHAnsi" w:cs="Times New Roman"/>
                <w:b/>
                <w:color w:val="auto"/>
                <w:sz w:val="19"/>
                <w:szCs w:val="19"/>
              </w:rPr>
              <w:t>research to determine the extent to which employers are hiring for competencies.</w:t>
            </w:r>
          </w:p>
        </w:tc>
        <w:tc>
          <w:tcPr>
            <w:tcW w:w="2250" w:type="dxa"/>
          </w:tcPr>
          <w:p w14:paraId="4B4B93FD" w14:textId="0E3F475E" w:rsidR="00CA7477" w:rsidRPr="00F115E5" w:rsidRDefault="00CA7477" w:rsidP="0099185D">
            <w:pPr>
              <w:jc w:val="center"/>
              <w:rPr>
                <w:rFonts w:asciiTheme="minorHAnsi" w:hAnsiTheme="minorHAnsi"/>
                <w:sz w:val="19"/>
                <w:szCs w:val="19"/>
              </w:rPr>
            </w:pPr>
            <w:r w:rsidRPr="00F115E5">
              <w:rPr>
                <w:rFonts w:asciiTheme="minorHAnsi" w:eastAsia="Times New Roman" w:hAnsiTheme="minorHAnsi" w:cs="Times New Roman"/>
                <w:sz w:val="19"/>
                <w:szCs w:val="19"/>
              </w:rPr>
              <w:t>National Network of Business &amp; Industry Network, ACT Foundation, Business Roundtable, Lumina</w:t>
            </w:r>
            <w:r>
              <w:rPr>
                <w:rFonts w:asciiTheme="minorHAnsi" w:eastAsia="Times New Roman" w:hAnsiTheme="minorHAnsi" w:cs="Times New Roman"/>
                <w:sz w:val="19"/>
                <w:szCs w:val="19"/>
              </w:rPr>
              <w:t xml:space="preserve"> Foundation</w:t>
            </w:r>
          </w:p>
        </w:tc>
      </w:tr>
      <w:tr w:rsidR="00CA7477" w14:paraId="2F0DE47B" w14:textId="77777777" w:rsidTr="00210234">
        <w:tc>
          <w:tcPr>
            <w:tcW w:w="1710" w:type="dxa"/>
            <w:vMerge/>
            <w:shd w:val="clear" w:color="auto" w:fill="F2DCDB"/>
          </w:tcPr>
          <w:p w14:paraId="5E0428EF" w14:textId="77777777" w:rsidR="00CA7477" w:rsidRPr="00A007DE" w:rsidRDefault="00CA7477">
            <w:pPr>
              <w:rPr>
                <w:rFonts w:asciiTheme="minorHAnsi" w:eastAsia="Times New Roman" w:hAnsiTheme="minorHAnsi" w:cs="Times New Roman"/>
                <w:sz w:val="20"/>
                <w:szCs w:val="20"/>
              </w:rPr>
            </w:pPr>
          </w:p>
        </w:tc>
        <w:tc>
          <w:tcPr>
            <w:tcW w:w="540" w:type="dxa"/>
          </w:tcPr>
          <w:p w14:paraId="60A336EF" w14:textId="77777777" w:rsidR="00CA7477" w:rsidRPr="00F115E5" w:rsidRDefault="00CA7477" w:rsidP="005E223B">
            <w:pPr>
              <w:pStyle w:val="ListParagraph"/>
              <w:numPr>
                <w:ilvl w:val="0"/>
                <w:numId w:val="37"/>
              </w:numPr>
              <w:ind w:left="288"/>
              <w:jc w:val="center"/>
              <w:rPr>
                <w:rFonts w:asciiTheme="minorHAnsi" w:eastAsia="Times New Roman" w:hAnsiTheme="minorHAnsi" w:cs="Times New Roman"/>
                <w:b/>
                <w:sz w:val="19"/>
                <w:szCs w:val="19"/>
              </w:rPr>
            </w:pPr>
          </w:p>
        </w:tc>
        <w:tc>
          <w:tcPr>
            <w:tcW w:w="9810" w:type="dxa"/>
          </w:tcPr>
          <w:p w14:paraId="707F4E0E" w14:textId="07363BD2" w:rsidR="00CA7477" w:rsidRPr="00F115E5" w:rsidRDefault="00CA7477" w:rsidP="00A27EA8">
            <w:pPr>
              <w:rPr>
                <w:rFonts w:asciiTheme="minorHAnsi" w:eastAsia="Times New Roman" w:hAnsiTheme="minorHAnsi" w:cs="Times New Roman"/>
                <w:color w:val="auto"/>
                <w:sz w:val="19"/>
                <w:szCs w:val="19"/>
              </w:rPr>
            </w:pPr>
            <w:r w:rsidRPr="00C7486D">
              <w:rPr>
                <w:rFonts w:asciiTheme="minorHAnsi" w:eastAsia="Times New Roman" w:hAnsiTheme="minorHAnsi" w:cs="Times New Roman"/>
                <w:color w:val="auto"/>
                <w:sz w:val="19"/>
                <w:szCs w:val="19"/>
              </w:rPr>
              <w:t xml:space="preserve">Several of America’s top companies have committed to NAFTrack Certified Hiring, a promise to give special consideration to college students and eventual job applicants who as high school students earned NAFTrack Certification which is based </w:t>
            </w:r>
            <w:r w:rsidRPr="00C7486D">
              <w:rPr>
                <w:rFonts w:asciiTheme="minorHAnsi" w:eastAsia="Times New Roman" w:hAnsiTheme="minorHAnsi" w:cs="Times New Roman"/>
                <w:color w:val="auto"/>
                <w:sz w:val="19"/>
                <w:szCs w:val="19"/>
              </w:rPr>
              <w:lastRenderedPageBreak/>
              <w:t>on a rigorous and comprehensive assessment of students’ academic proficiency, project execution and internship performance.</w:t>
            </w:r>
            <w:r w:rsidRPr="00C7486D">
              <w:rPr>
                <w:color w:val="auto"/>
                <w:sz w:val="19"/>
                <w:szCs w:val="19"/>
              </w:rPr>
              <w:t xml:space="preserve"> </w:t>
            </w:r>
            <w:hyperlink r:id="rId55" w:history="1">
              <w:r w:rsidRPr="00C7486D">
                <w:rPr>
                  <w:rStyle w:val="Hyperlink"/>
                  <w:rFonts w:asciiTheme="minorHAnsi" w:eastAsia="Times New Roman" w:hAnsiTheme="minorHAnsi" w:cs="Times New Roman"/>
                  <w:b/>
                  <w:color w:val="auto"/>
                  <w:sz w:val="19"/>
                  <w:szCs w:val="19"/>
                </w:rPr>
                <w:t>http://quality.naf.org/naftrack-certified-hiring</w:t>
              </w:r>
            </w:hyperlink>
            <w:r w:rsidRPr="00C7486D">
              <w:rPr>
                <w:rFonts w:asciiTheme="minorHAnsi" w:eastAsia="Times New Roman" w:hAnsiTheme="minorHAnsi" w:cs="Times New Roman"/>
                <w:b/>
                <w:color w:val="auto"/>
                <w:sz w:val="19"/>
                <w:szCs w:val="19"/>
              </w:rPr>
              <w:t xml:space="preserve"> </w:t>
            </w:r>
          </w:p>
        </w:tc>
        <w:tc>
          <w:tcPr>
            <w:tcW w:w="2250" w:type="dxa"/>
          </w:tcPr>
          <w:p w14:paraId="5EE26A1E" w14:textId="46A188C8" w:rsidR="00CA7477" w:rsidRPr="00F115E5" w:rsidRDefault="00CA7477" w:rsidP="0099185D">
            <w:pPr>
              <w:jc w:val="center"/>
              <w:rPr>
                <w:rFonts w:asciiTheme="minorHAnsi" w:eastAsia="Times New Roman" w:hAnsiTheme="minorHAnsi" w:cs="Times New Roman"/>
                <w:sz w:val="19"/>
                <w:szCs w:val="19"/>
              </w:rPr>
            </w:pPr>
            <w:r>
              <w:rPr>
                <w:rFonts w:asciiTheme="minorHAnsi" w:hAnsiTheme="minorHAnsi"/>
                <w:sz w:val="19"/>
                <w:szCs w:val="19"/>
              </w:rPr>
              <w:lastRenderedPageBreak/>
              <w:t>National Academy Foundation</w:t>
            </w:r>
          </w:p>
        </w:tc>
      </w:tr>
      <w:tr w:rsidR="00CA7477" w14:paraId="7E4AF691" w14:textId="77777777" w:rsidTr="00210234">
        <w:tc>
          <w:tcPr>
            <w:tcW w:w="1710" w:type="dxa"/>
            <w:vMerge/>
            <w:shd w:val="clear" w:color="auto" w:fill="F2DCDB"/>
          </w:tcPr>
          <w:p w14:paraId="6CCC979B" w14:textId="77777777" w:rsidR="00CA7477" w:rsidRPr="00A007DE" w:rsidRDefault="00CA7477">
            <w:pPr>
              <w:rPr>
                <w:rFonts w:asciiTheme="minorHAnsi" w:eastAsia="Times New Roman" w:hAnsiTheme="minorHAnsi" w:cs="Times New Roman"/>
                <w:sz w:val="20"/>
                <w:szCs w:val="20"/>
              </w:rPr>
            </w:pPr>
          </w:p>
        </w:tc>
        <w:tc>
          <w:tcPr>
            <w:tcW w:w="540" w:type="dxa"/>
          </w:tcPr>
          <w:p w14:paraId="7FE10C71" w14:textId="77777777" w:rsidR="00CA7477" w:rsidRPr="00F115E5" w:rsidRDefault="00CA7477" w:rsidP="005E223B">
            <w:pPr>
              <w:pStyle w:val="ListParagraph"/>
              <w:numPr>
                <w:ilvl w:val="0"/>
                <w:numId w:val="37"/>
              </w:numPr>
              <w:ind w:left="288"/>
              <w:jc w:val="center"/>
              <w:rPr>
                <w:rFonts w:asciiTheme="minorHAnsi" w:eastAsia="Times New Roman" w:hAnsiTheme="minorHAnsi" w:cs="Times New Roman"/>
                <w:b/>
                <w:sz w:val="19"/>
                <w:szCs w:val="19"/>
              </w:rPr>
            </w:pPr>
          </w:p>
        </w:tc>
        <w:tc>
          <w:tcPr>
            <w:tcW w:w="9810" w:type="dxa"/>
          </w:tcPr>
          <w:p w14:paraId="77A743E8" w14:textId="4DE68F8E" w:rsidR="00CA7477" w:rsidRPr="00C7486D" w:rsidRDefault="00CA7477" w:rsidP="00A27EA8">
            <w:pPr>
              <w:rPr>
                <w:rFonts w:asciiTheme="minorHAnsi" w:eastAsia="Times New Roman" w:hAnsiTheme="minorHAnsi" w:cs="Times New Roman"/>
                <w:color w:val="auto"/>
                <w:sz w:val="19"/>
                <w:szCs w:val="19"/>
              </w:rPr>
            </w:pPr>
            <w:r w:rsidRPr="00527240">
              <w:rPr>
                <w:b/>
                <w:color w:val="auto"/>
                <w:sz w:val="18"/>
                <w:szCs w:val="18"/>
              </w:rPr>
              <w:t>TechHire</w:t>
            </w:r>
            <w:r w:rsidRPr="00527240">
              <w:rPr>
                <w:color w:val="auto"/>
                <w:sz w:val="18"/>
                <w:szCs w:val="18"/>
              </w:rPr>
              <w:t xml:space="preserve"> is national initiative (as of August 2015 of 31 regional labor markets and 400+ employers) to better connect employers across multiple industries that need to hire and fill jobs in IT occupations to individuals who possess the skills and the motivation to be successful hires, but whose non-traditional pathways to acquiring those skills render them “invisible” to traditional recruiting processes in the IT field. Employers agree to hire (or offer paid apprenticeships with the intention to hire) on the basis of a range of demonstrations of competence or readiness – whether by alternative credentials or by assessments and/or capstone projects that can serve as “proxy credentials” with market value </w:t>
            </w:r>
          </w:p>
        </w:tc>
        <w:tc>
          <w:tcPr>
            <w:tcW w:w="2250" w:type="dxa"/>
          </w:tcPr>
          <w:p w14:paraId="66E51B08" w14:textId="211E0824" w:rsidR="00CA7477" w:rsidRDefault="00CA7477" w:rsidP="0099185D">
            <w:pPr>
              <w:jc w:val="center"/>
              <w:rPr>
                <w:rFonts w:asciiTheme="minorHAnsi" w:hAnsiTheme="minorHAnsi"/>
                <w:sz w:val="19"/>
                <w:szCs w:val="19"/>
              </w:rPr>
            </w:pPr>
            <w:r w:rsidRPr="00527240">
              <w:rPr>
                <w:rFonts w:asciiTheme="minorHAnsi" w:eastAsia="Times New Roman" w:hAnsiTheme="minorHAnsi" w:cs="Times New Roman"/>
                <w:sz w:val="18"/>
                <w:szCs w:val="18"/>
              </w:rPr>
              <w:t>Opportunity @ Work</w:t>
            </w:r>
          </w:p>
        </w:tc>
      </w:tr>
      <w:tr w:rsidR="00CA7477" w14:paraId="3E9AD281" w14:textId="77777777" w:rsidTr="00210234">
        <w:tc>
          <w:tcPr>
            <w:tcW w:w="1710" w:type="dxa"/>
            <w:vMerge/>
            <w:shd w:val="clear" w:color="auto" w:fill="F2DCDB"/>
          </w:tcPr>
          <w:p w14:paraId="5BDD3968" w14:textId="77777777" w:rsidR="00CA7477" w:rsidRPr="00A007DE" w:rsidRDefault="00CA7477">
            <w:pPr>
              <w:rPr>
                <w:rFonts w:asciiTheme="minorHAnsi" w:eastAsia="Times New Roman" w:hAnsiTheme="minorHAnsi" w:cs="Times New Roman"/>
                <w:sz w:val="20"/>
                <w:szCs w:val="20"/>
              </w:rPr>
            </w:pPr>
          </w:p>
        </w:tc>
        <w:tc>
          <w:tcPr>
            <w:tcW w:w="540" w:type="dxa"/>
          </w:tcPr>
          <w:p w14:paraId="50F04510" w14:textId="77777777" w:rsidR="00CA7477" w:rsidRPr="00F115E5" w:rsidRDefault="00CA7477" w:rsidP="005E223B">
            <w:pPr>
              <w:pStyle w:val="ListParagraph"/>
              <w:numPr>
                <w:ilvl w:val="0"/>
                <w:numId w:val="37"/>
              </w:numPr>
              <w:ind w:left="288"/>
              <w:jc w:val="center"/>
              <w:rPr>
                <w:rFonts w:asciiTheme="minorHAnsi" w:eastAsia="Times New Roman" w:hAnsiTheme="minorHAnsi" w:cs="Times New Roman"/>
                <w:b/>
                <w:sz w:val="19"/>
                <w:szCs w:val="19"/>
              </w:rPr>
            </w:pPr>
          </w:p>
        </w:tc>
        <w:tc>
          <w:tcPr>
            <w:tcW w:w="9810" w:type="dxa"/>
          </w:tcPr>
          <w:p w14:paraId="2C966170" w14:textId="2E9D67A0" w:rsidR="00CA7477" w:rsidRPr="00C7486D" w:rsidRDefault="00CA7477" w:rsidP="00A27EA8">
            <w:pPr>
              <w:rPr>
                <w:rFonts w:asciiTheme="minorHAnsi" w:eastAsia="Times New Roman" w:hAnsiTheme="minorHAnsi" w:cs="Times New Roman"/>
                <w:color w:val="auto"/>
                <w:sz w:val="19"/>
                <w:szCs w:val="19"/>
              </w:rPr>
            </w:pPr>
            <w:r w:rsidRPr="00FA7775">
              <w:rPr>
                <w:color w:val="auto"/>
                <w:sz w:val="19"/>
                <w:szCs w:val="19"/>
              </w:rPr>
              <w:t xml:space="preserve">Collaborates with designers, online talent platforms, employers, and educational institutions to build online platform to aggregate tools employers require to hire successfully based on demonstrations of competencies and on the “non-traditional” credentials that align to those competencies.  Such tools include the </w:t>
            </w:r>
            <w:r w:rsidRPr="00910F8D">
              <w:rPr>
                <w:b/>
                <w:color w:val="auto"/>
                <w:sz w:val="19"/>
                <w:szCs w:val="19"/>
              </w:rPr>
              <w:t>Inclusive Hiring Playbook for IT Jobs</w:t>
            </w:r>
            <w:r w:rsidRPr="00FA7775">
              <w:rPr>
                <w:color w:val="auto"/>
                <w:sz w:val="19"/>
                <w:szCs w:val="19"/>
              </w:rPr>
              <w:t>, created in partnership with Corporate Executive Board (CEB), and an engine of employer feedback (quantitative and qualitative) on success of candidates sourced through TechHire’s “non-traditional” channels and hired based on competencies and alternative credentials, building national database with comparative employer feedback across hiring sources.</w:t>
            </w:r>
          </w:p>
        </w:tc>
        <w:tc>
          <w:tcPr>
            <w:tcW w:w="2250" w:type="dxa"/>
          </w:tcPr>
          <w:p w14:paraId="2024CB60" w14:textId="679D24D0" w:rsidR="00CA7477" w:rsidRDefault="00CA7477" w:rsidP="0099185D">
            <w:pPr>
              <w:jc w:val="center"/>
              <w:rPr>
                <w:rFonts w:asciiTheme="minorHAnsi" w:hAnsiTheme="minorHAnsi"/>
                <w:sz w:val="19"/>
                <w:szCs w:val="19"/>
              </w:rPr>
            </w:pPr>
            <w:r w:rsidRPr="00FA7775">
              <w:rPr>
                <w:rFonts w:asciiTheme="minorHAnsi" w:eastAsia="Times New Roman" w:hAnsiTheme="minorHAnsi" w:cs="Times New Roman"/>
                <w:sz w:val="19"/>
                <w:szCs w:val="19"/>
              </w:rPr>
              <w:t>Opportunity @ Work</w:t>
            </w:r>
          </w:p>
        </w:tc>
      </w:tr>
      <w:tr w:rsidR="00CA7477" w14:paraId="42FCDE8A" w14:textId="77777777" w:rsidTr="00210234">
        <w:trPr>
          <w:trHeight w:val="494"/>
        </w:trPr>
        <w:tc>
          <w:tcPr>
            <w:tcW w:w="1710" w:type="dxa"/>
            <w:vMerge/>
            <w:shd w:val="clear" w:color="auto" w:fill="F2DCDB"/>
          </w:tcPr>
          <w:p w14:paraId="62F288B2" w14:textId="77777777" w:rsidR="00CA7477" w:rsidRPr="00A007DE" w:rsidRDefault="00CA7477">
            <w:pPr>
              <w:rPr>
                <w:sz w:val="20"/>
                <w:szCs w:val="20"/>
              </w:rPr>
            </w:pPr>
          </w:p>
        </w:tc>
        <w:tc>
          <w:tcPr>
            <w:tcW w:w="540" w:type="dxa"/>
          </w:tcPr>
          <w:p w14:paraId="0D731086" w14:textId="7E7846A5" w:rsidR="00CA7477" w:rsidRPr="00F115E5" w:rsidRDefault="00CA7477" w:rsidP="005E223B">
            <w:pPr>
              <w:pStyle w:val="ListParagraph"/>
              <w:numPr>
                <w:ilvl w:val="0"/>
                <w:numId w:val="37"/>
              </w:numPr>
              <w:ind w:left="288"/>
              <w:jc w:val="center"/>
              <w:rPr>
                <w:rFonts w:asciiTheme="minorHAnsi" w:eastAsia="Times New Roman" w:hAnsiTheme="minorHAnsi" w:cs="Times New Roman"/>
                <w:b/>
                <w:sz w:val="19"/>
                <w:szCs w:val="19"/>
              </w:rPr>
            </w:pPr>
          </w:p>
        </w:tc>
        <w:tc>
          <w:tcPr>
            <w:tcW w:w="9810" w:type="dxa"/>
          </w:tcPr>
          <w:p w14:paraId="4745D785" w14:textId="68F16B9E" w:rsidR="00CA7477" w:rsidRPr="00F115E5" w:rsidRDefault="00CA7477" w:rsidP="00271A54">
            <w:pPr>
              <w:rPr>
                <w:rFonts w:asciiTheme="minorHAnsi" w:hAnsiTheme="minorHAnsi"/>
                <w:color w:val="auto"/>
                <w:sz w:val="19"/>
                <w:szCs w:val="19"/>
              </w:rPr>
            </w:pPr>
            <w:r w:rsidRPr="00F115E5">
              <w:rPr>
                <w:rFonts w:asciiTheme="minorHAnsi" w:eastAsia="Times New Roman" w:hAnsiTheme="minorHAnsi" w:cs="Times New Roman"/>
                <w:color w:val="auto"/>
                <w:sz w:val="19"/>
                <w:szCs w:val="19"/>
              </w:rPr>
              <w:t>Developing demand-driven</w:t>
            </w:r>
            <w:r w:rsidRPr="00B4150E">
              <w:rPr>
                <w:rFonts w:asciiTheme="minorHAnsi" w:eastAsia="Times New Roman" w:hAnsiTheme="minorHAnsi" w:cs="Times New Roman"/>
                <w:b/>
                <w:color w:val="auto"/>
                <w:sz w:val="19"/>
                <w:szCs w:val="19"/>
              </w:rPr>
              <w:t xml:space="preserve">, competency-based and research-backed training and hiring model </w:t>
            </w:r>
            <w:r w:rsidRPr="00F115E5">
              <w:rPr>
                <w:rFonts w:asciiTheme="minorHAnsi" w:eastAsia="Times New Roman" w:hAnsiTheme="minorHAnsi" w:cs="Times New Roman"/>
                <w:color w:val="auto"/>
                <w:sz w:val="19"/>
                <w:szCs w:val="19"/>
              </w:rPr>
              <w:t>across regions and states that pilots cognitive ability (learn how to learn) as core foundational skills for jobs across multiple sectors.</w:t>
            </w:r>
          </w:p>
        </w:tc>
        <w:tc>
          <w:tcPr>
            <w:tcW w:w="2250" w:type="dxa"/>
          </w:tcPr>
          <w:p w14:paraId="5D69E82D" w14:textId="77777777" w:rsidR="00CA7477" w:rsidRPr="00F115E5" w:rsidRDefault="00CA7477" w:rsidP="0099185D">
            <w:pPr>
              <w:jc w:val="center"/>
              <w:rPr>
                <w:rFonts w:asciiTheme="minorHAnsi" w:hAnsiTheme="minorHAnsi"/>
                <w:sz w:val="19"/>
                <w:szCs w:val="19"/>
              </w:rPr>
            </w:pPr>
            <w:r w:rsidRPr="00F115E5">
              <w:rPr>
                <w:rFonts w:asciiTheme="minorHAnsi" w:hAnsiTheme="minorHAnsi"/>
                <w:sz w:val="19"/>
                <w:szCs w:val="19"/>
              </w:rPr>
              <w:t>Innovate + Educate</w:t>
            </w:r>
          </w:p>
        </w:tc>
      </w:tr>
      <w:tr w:rsidR="00DD600E" w14:paraId="2C4E75E7" w14:textId="77777777" w:rsidTr="00210234">
        <w:trPr>
          <w:trHeight w:val="494"/>
        </w:trPr>
        <w:tc>
          <w:tcPr>
            <w:tcW w:w="1710" w:type="dxa"/>
            <w:shd w:val="clear" w:color="auto" w:fill="F2DCDB"/>
          </w:tcPr>
          <w:p w14:paraId="168CF7FC" w14:textId="77777777" w:rsidR="00DD600E" w:rsidRPr="00A007DE" w:rsidRDefault="00DD600E">
            <w:pPr>
              <w:rPr>
                <w:sz w:val="20"/>
                <w:szCs w:val="20"/>
              </w:rPr>
            </w:pPr>
          </w:p>
        </w:tc>
        <w:tc>
          <w:tcPr>
            <w:tcW w:w="540" w:type="dxa"/>
          </w:tcPr>
          <w:p w14:paraId="39122C2E" w14:textId="77777777" w:rsidR="00DD600E" w:rsidRPr="00F115E5" w:rsidRDefault="00DD600E" w:rsidP="005E223B">
            <w:pPr>
              <w:pStyle w:val="ListParagraph"/>
              <w:numPr>
                <w:ilvl w:val="0"/>
                <w:numId w:val="37"/>
              </w:numPr>
              <w:ind w:left="288"/>
              <w:jc w:val="center"/>
              <w:rPr>
                <w:rFonts w:asciiTheme="minorHAnsi" w:eastAsia="Times New Roman" w:hAnsiTheme="minorHAnsi" w:cs="Times New Roman"/>
                <w:b/>
                <w:sz w:val="19"/>
                <w:szCs w:val="19"/>
              </w:rPr>
            </w:pPr>
          </w:p>
        </w:tc>
        <w:tc>
          <w:tcPr>
            <w:tcW w:w="9810" w:type="dxa"/>
          </w:tcPr>
          <w:p w14:paraId="25BEFA69" w14:textId="47382C68" w:rsidR="00DD600E" w:rsidRPr="00DD600E" w:rsidRDefault="00DD600E" w:rsidP="00DD600E">
            <w:pPr>
              <w:spacing w:after="120"/>
              <w:rPr>
                <w:color w:val="000000" w:themeColor="text1"/>
                <w:sz w:val="19"/>
                <w:szCs w:val="19"/>
              </w:rPr>
            </w:pPr>
            <w:r w:rsidRPr="00DD600E">
              <w:rPr>
                <w:color w:val="000000" w:themeColor="text1"/>
                <w:sz w:val="19"/>
                <w:szCs w:val="19"/>
                <w:shd w:val="clear" w:color="auto" w:fill="FFFFFF"/>
              </w:rPr>
              <w:t>The Computing Technology Industry Association (CompTIA) is the voice of the world's information technology industry. Its members are the companies at the forefront of innovation; and the professionals responsible for maximizing the benefits that organizations receive from their investments in technology. CompTIA is dedicated to advancing industry growth through its educational programs, market research, networking events, professional certifications, and public policy advocacy. The association’s work has focused on building credentialing pathways for the IT industry that leads to high-growth careers.</w:t>
            </w:r>
            <w:r w:rsidRPr="00DD600E">
              <w:rPr>
                <w:color w:val="000000" w:themeColor="text1"/>
                <w:sz w:val="19"/>
                <w:szCs w:val="19"/>
              </w:rPr>
              <w:t xml:space="preserve"> </w:t>
            </w:r>
            <w:hyperlink r:id="rId56" w:history="1">
              <w:r w:rsidRPr="00DD600E">
                <w:rPr>
                  <w:color w:val="F78F1E"/>
                  <w:sz w:val="19"/>
                  <w:szCs w:val="19"/>
                  <w:u w:val="single"/>
                </w:rPr>
                <w:t>www.CompTIA.org</w:t>
              </w:r>
            </w:hyperlink>
            <w:r w:rsidRPr="00DD600E">
              <w:rPr>
                <w:color w:val="000000" w:themeColor="text1"/>
                <w:sz w:val="19"/>
                <w:szCs w:val="19"/>
              </w:rPr>
              <w:t xml:space="preserve"> </w:t>
            </w:r>
          </w:p>
          <w:p w14:paraId="0935ABF1" w14:textId="77777777" w:rsidR="00DD600E" w:rsidRPr="00F115E5" w:rsidRDefault="00DD600E" w:rsidP="00271A54">
            <w:pPr>
              <w:rPr>
                <w:rFonts w:asciiTheme="minorHAnsi" w:eastAsia="Times New Roman" w:hAnsiTheme="minorHAnsi" w:cs="Times New Roman"/>
                <w:color w:val="auto"/>
                <w:sz w:val="19"/>
                <w:szCs w:val="19"/>
              </w:rPr>
            </w:pPr>
          </w:p>
        </w:tc>
        <w:tc>
          <w:tcPr>
            <w:tcW w:w="2250" w:type="dxa"/>
          </w:tcPr>
          <w:p w14:paraId="6B11FE1C" w14:textId="7711FAD4" w:rsidR="00DD600E" w:rsidRPr="00F115E5" w:rsidRDefault="00DD600E" w:rsidP="0099185D">
            <w:pPr>
              <w:jc w:val="center"/>
              <w:rPr>
                <w:rFonts w:asciiTheme="minorHAnsi" w:hAnsiTheme="minorHAnsi"/>
                <w:sz w:val="19"/>
                <w:szCs w:val="19"/>
              </w:rPr>
            </w:pPr>
            <w:r>
              <w:rPr>
                <w:rFonts w:asciiTheme="minorHAnsi" w:hAnsiTheme="minorHAnsi"/>
                <w:sz w:val="19"/>
                <w:szCs w:val="19"/>
              </w:rPr>
              <w:t>CompTIA</w:t>
            </w:r>
          </w:p>
        </w:tc>
      </w:tr>
      <w:tr w:rsidR="00CA7477" w14:paraId="3C27E5B1" w14:textId="77777777" w:rsidTr="00210234">
        <w:tc>
          <w:tcPr>
            <w:tcW w:w="14310" w:type="dxa"/>
            <w:gridSpan w:val="4"/>
            <w:shd w:val="clear" w:color="auto" w:fill="DBE5F1"/>
          </w:tcPr>
          <w:p w14:paraId="3CC9DC98" w14:textId="2E442645" w:rsidR="00CA7477" w:rsidRDefault="007B2BC3" w:rsidP="00145C74">
            <w:pPr>
              <w:pStyle w:val="Heading1"/>
              <w:spacing w:before="240"/>
              <w:ind w:left="288"/>
              <w:jc w:val="center"/>
              <w:outlineLvl w:val="0"/>
              <w:rPr>
                <w:sz w:val="24"/>
                <w:szCs w:val="24"/>
              </w:rPr>
            </w:pPr>
            <w:r>
              <w:rPr>
                <w:sz w:val="24"/>
                <w:szCs w:val="24"/>
              </w:rPr>
              <w:t xml:space="preserve">Create </w:t>
            </w:r>
            <w:r w:rsidR="00CA7477" w:rsidRPr="004A30EA">
              <w:rPr>
                <w:sz w:val="24"/>
                <w:szCs w:val="24"/>
              </w:rPr>
              <w:t>flexible credentialing pathways leading to family-sustaining jobs to increase equity</w:t>
            </w:r>
          </w:p>
          <w:p w14:paraId="17914BB4" w14:textId="77777777" w:rsidR="00CA7477" w:rsidRDefault="00CA7477" w:rsidP="00145C74">
            <w:pPr>
              <w:pStyle w:val="ListParagraph"/>
              <w:numPr>
                <w:ilvl w:val="0"/>
                <w:numId w:val="40"/>
              </w:numPr>
              <w:spacing w:after="80"/>
              <w:contextualSpacing w:val="0"/>
            </w:pPr>
            <w:r>
              <w:t>Advance system alignment of career pathways initiatives and stackable credentials connecting adult education, developmental education, youth, employers, and community based organizations.  Pathways initiatives and stackable credentials include:  high school to college, adult education to college, college to career, career to credential.</w:t>
            </w:r>
          </w:p>
          <w:p w14:paraId="3C11ED37" w14:textId="77777777" w:rsidR="00CA7477" w:rsidRDefault="00CA7477" w:rsidP="00145C74">
            <w:pPr>
              <w:pStyle w:val="ListParagraph"/>
              <w:numPr>
                <w:ilvl w:val="0"/>
                <w:numId w:val="40"/>
              </w:numPr>
              <w:spacing w:after="80"/>
              <w:contextualSpacing w:val="0"/>
            </w:pPr>
            <w:r>
              <w:t>Scale stackable credentials promoting articulation and transfer.</w:t>
            </w:r>
          </w:p>
          <w:p w14:paraId="16C632FF" w14:textId="77777777" w:rsidR="00CA7477" w:rsidRDefault="00CA7477" w:rsidP="00145C74">
            <w:pPr>
              <w:pStyle w:val="ListParagraph"/>
              <w:numPr>
                <w:ilvl w:val="0"/>
                <w:numId w:val="40"/>
              </w:numPr>
              <w:spacing w:after="80"/>
              <w:contextualSpacing w:val="0"/>
            </w:pPr>
            <w:r>
              <w:t>Strengthen academic and career guidance and navigation supports, including efforts to reduce stigma about education, pathways, and training.</w:t>
            </w:r>
          </w:p>
          <w:p w14:paraId="4C9F1636" w14:textId="77777777" w:rsidR="00CA7477" w:rsidRDefault="00CA7477" w:rsidP="00145C74">
            <w:pPr>
              <w:pStyle w:val="ListParagraph"/>
              <w:numPr>
                <w:ilvl w:val="0"/>
                <w:numId w:val="40"/>
              </w:numPr>
              <w:spacing w:after="80"/>
              <w:contextualSpacing w:val="0"/>
            </w:pPr>
            <w:r>
              <w:t>Incorporate Credit for Prior Learning (CPL) into career pathways and stackable credentials.</w:t>
            </w:r>
          </w:p>
          <w:p w14:paraId="0E23EA97" w14:textId="77777777" w:rsidR="00CA7477" w:rsidRDefault="00CA7477" w:rsidP="00145C74">
            <w:pPr>
              <w:pStyle w:val="ListParagraph"/>
              <w:numPr>
                <w:ilvl w:val="0"/>
                <w:numId w:val="40"/>
              </w:numPr>
              <w:spacing w:after="80"/>
              <w:contextualSpacing w:val="0"/>
            </w:pPr>
            <w:r>
              <w:t xml:space="preserve">Promote research and study of stackable credential completers to understand impact and drive continuous improvement. </w:t>
            </w:r>
          </w:p>
          <w:p w14:paraId="7C329916" w14:textId="132CE7EB" w:rsidR="00CA7477" w:rsidRPr="00145C74" w:rsidRDefault="00CA7477" w:rsidP="00145C74"/>
        </w:tc>
      </w:tr>
      <w:tr w:rsidR="00CA7477" w14:paraId="46031E08" w14:textId="77777777" w:rsidTr="00210234">
        <w:tc>
          <w:tcPr>
            <w:tcW w:w="1710" w:type="dxa"/>
            <w:vMerge w:val="restart"/>
            <w:shd w:val="clear" w:color="auto" w:fill="DBE5F1"/>
          </w:tcPr>
          <w:p w14:paraId="75E58B15" w14:textId="77777777" w:rsidR="00CA7477" w:rsidRPr="00A007DE" w:rsidRDefault="00CA7477" w:rsidP="00F612AD">
            <w:pPr>
              <w:ind w:left="5" w:hanging="5"/>
              <w:rPr>
                <w:rFonts w:asciiTheme="minorHAnsi" w:eastAsia="Times New Roman" w:hAnsiTheme="minorHAnsi" w:cs="Times New Roman"/>
                <w:sz w:val="20"/>
                <w:szCs w:val="20"/>
                <w:shd w:val="clear" w:color="auto" w:fill="DBE5F1"/>
              </w:rPr>
            </w:pPr>
          </w:p>
          <w:p w14:paraId="5937F871" w14:textId="77777777" w:rsidR="00CA7477" w:rsidRPr="00A007DE" w:rsidRDefault="00CA7477" w:rsidP="00F612AD">
            <w:pPr>
              <w:ind w:left="5" w:hanging="5"/>
              <w:rPr>
                <w:rFonts w:asciiTheme="minorHAnsi" w:hAnsiTheme="minorHAnsi"/>
                <w:sz w:val="20"/>
                <w:szCs w:val="20"/>
              </w:rPr>
            </w:pPr>
            <w:r w:rsidRPr="00A007DE">
              <w:rPr>
                <w:rFonts w:asciiTheme="minorHAnsi" w:eastAsia="Times New Roman" w:hAnsiTheme="minorHAnsi" w:cs="Times New Roman"/>
                <w:sz w:val="20"/>
                <w:szCs w:val="20"/>
                <w:shd w:val="clear" w:color="auto" w:fill="DBE5F1"/>
              </w:rPr>
              <w:t>Clear pathways</w:t>
            </w:r>
          </w:p>
          <w:p w14:paraId="45755C0C" w14:textId="5EF1A0B8" w:rsidR="00CA7477" w:rsidRPr="00A007DE" w:rsidRDefault="00CA7477" w:rsidP="001D0006">
            <w:pPr>
              <w:ind w:left="5" w:hanging="5"/>
              <w:rPr>
                <w:rFonts w:asciiTheme="minorHAnsi" w:hAnsiTheme="minorHAnsi"/>
                <w:sz w:val="20"/>
                <w:szCs w:val="20"/>
              </w:rPr>
            </w:pPr>
            <w:r>
              <w:rPr>
                <w:rFonts w:asciiTheme="minorHAnsi" w:eastAsia="Times New Roman" w:hAnsiTheme="minorHAnsi" w:cs="Times New Roman"/>
                <w:sz w:val="20"/>
                <w:szCs w:val="20"/>
                <w:shd w:val="clear" w:color="auto" w:fill="DBE5F1"/>
              </w:rPr>
              <w:lastRenderedPageBreak/>
              <w:t>f</w:t>
            </w:r>
            <w:r w:rsidRPr="00A007DE">
              <w:rPr>
                <w:rFonts w:asciiTheme="minorHAnsi" w:eastAsia="Times New Roman" w:hAnsiTheme="minorHAnsi" w:cs="Times New Roman"/>
                <w:sz w:val="20"/>
                <w:szCs w:val="20"/>
                <w:shd w:val="clear" w:color="auto" w:fill="DBE5F1"/>
              </w:rPr>
              <w:t xml:space="preserve">rom high school to college to career  </w:t>
            </w:r>
          </w:p>
        </w:tc>
        <w:tc>
          <w:tcPr>
            <w:tcW w:w="540" w:type="dxa"/>
          </w:tcPr>
          <w:p w14:paraId="42591DBD" w14:textId="1E9A0175" w:rsidR="00CA7477" w:rsidRPr="00C7486D" w:rsidRDefault="00CA7477" w:rsidP="005E223B">
            <w:pPr>
              <w:pStyle w:val="ListParagraph"/>
              <w:numPr>
                <w:ilvl w:val="0"/>
                <w:numId w:val="37"/>
              </w:numPr>
              <w:ind w:left="288"/>
              <w:jc w:val="center"/>
              <w:rPr>
                <w:rFonts w:asciiTheme="minorHAnsi" w:eastAsia="Times New Roman" w:hAnsiTheme="minorHAnsi" w:cs="Times New Roman"/>
                <w:b/>
                <w:sz w:val="19"/>
                <w:szCs w:val="19"/>
              </w:rPr>
            </w:pPr>
          </w:p>
        </w:tc>
        <w:tc>
          <w:tcPr>
            <w:tcW w:w="9810" w:type="dxa"/>
          </w:tcPr>
          <w:p w14:paraId="199C3115" w14:textId="5AC99346" w:rsidR="00CA7477" w:rsidRPr="00C7486D" w:rsidRDefault="00CA7477" w:rsidP="00D8769F">
            <w:pPr>
              <w:rPr>
                <w:rFonts w:asciiTheme="minorHAnsi" w:hAnsiTheme="minorHAnsi"/>
                <w:color w:val="auto"/>
                <w:sz w:val="19"/>
                <w:szCs w:val="19"/>
              </w:rPr>
            </w:pPr>
            <w:r w:rsidRPr="00C7486D">
              <w:rPr>
                <w:rFonts w:asciiTheme="minorHAnsi" w:eastAsia="Times New Roman" w:hAnsiTheme="minorHAnsi" w:cs="Times New Roman"/>
                <w:b/>
                <w:color w:val="auto"/>
                <w:sz w:val="19"/>
                <w:szCs w:val="19"/>
              </w:rPr>
              <w:t>The Alliance for Quality Career Pathways</w:t>
            </w:r>
            <w:r w:rsidRPr="00C7486D">
              <w:rPr>
                <w:rFonts w:asciiTheme="minorHAnsi" w:eastAsia="Times New Roman" w:hAnsiTheme="minorHAnsi" w:cs="Times New Roman"/>
                <w:color w:val="auto"/>
                <w:sz w:val="19"/>
                <w:szCs w:val="19"/>
              </w:rPr>
              <w:t xml:space="preserve"> is a partner-driven, CLASP-led initiative that developed a consensus framework to establish a common understanding of quality career pathways and systems, including stackable credentials, to help state and local/regional partnerships strengthen their career pathway systems. </w:t>
            </w:r>
            <w:hyperlink r:id="rId57">
              <w:r w:rsidRPr="00C7486D">
                <w:rPr>
                  <w:rFonts w:asciiTheme="minorHAnsi" w:eastAsia="Times New Roman" w:hAnsiTheme="minorHAnsi" w:cs="Times New Roman"/>
                  <w:color w:val="auto"/>
                  <w:sz w:val="19"/>
                  <w:szCs w:val="19"/>
                  <w:u w:val="single"/>
                </w:rPr>
                <w:t>http://www.clasp.org/resources-and-publications/files/aqcp-framework-version-1-0/AQCP-Framework.pdf</w:t>
              </w:r>
            </w:hyperlink>
            <w:r w:rsidRPr="00C7486D">
              <w:rPr>
                <w:rFonts w:asciiTheme="minorHAnsi" w:eastAsia="Times New Roman" w:hAnsiTheme="minorHAnsi" w:cs="Times New Roman"/>
                <w:color w:val="auto"/>
                <w:sz w:val="19"/>
                <w:szCs w:val="19"/>
              </w:rPr>
              <w:t xml:space="preserve">   </w:t>
            </w:r>
          </w:p>
        </w:tc>
        <w:tc>
          <w:tcPr>
            <w:tcW w:w="2250" w:type="dxa"/>
          </w:tcPr>
          <w:p w14:paraId="1813ADE6" w14:textId="6B163131" w:rsidR="00CA7477" w:rsidRPr="00C7486D" w:rsidRDefault="00CA7477" w:rsidP="00E84FA2">
            <w:pPr>
              <w:jc w:val="center"/>
              <w:rPr>
                <w:rFonts w:asciiTheme="minorHAnsi" w:hAnsiTheme="minorHAnsi"/>
                <w:sz w:val="19"/>
                <w:szCs w:val="19"/>
              </w:rPr>
            </w:pPr>
            <w:r w:rsidRPr="00C7486D">
              <w:rPr>
                <w:rFonts w:asciiTheme="minorHAnsi" w:eastAsia="Times New Roman" w:hAnsiTheme="minorHAnsi" w:cs="Times New Roman"/>
                <w:sz w:val="19"/>
                <w:szCs w:val="19"/>
              </w:rPr>
              <w:t xml:space="preserve">Joyce </w:t>
            </w:r>
            <w:r>
              <w:rPr>
                <w:rFonts w:asciiTheme="minorHAnsi" w:eastAsia="Times New Roman" w:hAnsiTheme="minorHAnsi" w:cs="Times New Roman"/>
                <w:sz w:val="19"/>
                <w:szCs w:val="19"/>
              </w:rPr>
              <w:t xml:space="preserve">&amp; </w:t>
            </w:r>
            <w:r w:rsidRPr="00C7486D">
              <w:rPr>
                <w:rFonts w:asciiTheme="minorHAnsi" w:eastAsia="Times New Roman" w:hAnsiTheme="minorHAnsi" w:cs="Times New Roman"/>
                <w:sz w:val="19"/>
                <w:szCs w:val="19"/>
              </w:rPr>
              <w:t>James Irvine Foundation</w:t>
            </w:r>
            <w:r>
              <w:rPr>
                <w:rFonts w:asciiTheme="minorHAnsi" w:eastAsia="Times New Roman" w:hAnsiTheme="minorHAnsi" w:cs="Times New Roman"/>
                <w:sz w:val="19"/>
                <w:szCs w:val="19"/>
              </w:rPr>
              <w:t>s</w:t>
            </w:r>
            <w:r w:rsidRPr="00C7486D">
              <w:rPr>
                <w:rFonts w:asciiTheme="minorHAnsi" w:eastAsia="Times New Roman" w:hAnsiTheme="minorHAnsi" w:cs="Times New Roman"/>
                <w:sz w:val="19"/>
                <w:szCs w:val="19"/>
              </w:rPr>
              <w:t>, Greater Twin Cities United Way</w:t>
            </w:r>
          </w:p>
        </w:tc>
      </w:tr>
      <w:tr w:rsidR="00CA7477" w14:paraId="61E470E7" w14:textId="77777777" w:rsidTr="00210234">
        <w:tc>
          <w:tcPr>
            <w:tcW w:w="1710" w:type="dxa"/>
            <w:vMerge/>
            <w:shd w:val="clear" w:color="auto" w:fill="DBE5F1"/>
          </w:tcPr>
          <w:p w14:paraId="00A3EBB5" w14:textId="77777777" w:rsidR="00CA7477" w:rsidRPr="00A007DE" w:rsidRDefault="00CA7477" w:rsidP="00D74B46">
            <w:pPr>
              <w:rPr>
                <w:rFonts w:asciiTheme="minorHAnsi" w:hAnsiTheme="minorHAnsi"/>
                <w:sz w:val="20"/>
                <w:szCs w:val="20"/>
              </w:rPr>
            </w:pPr>
          </w:p>
        </w:tc>
        <w:tc>
          <w:tcPr>
            <w:tcW w:w="540" w:type="dxa"/>
          </w:tcPr>
          <w:p w14:paraId="2B962737" w14:textId="1536B096" w:rsidR="00CA7477" w:rsidRPr="00C7486D" w:rsidRDefault="00CA7477" w:rsidP="005E223B">
            <w:pPr>
              <w:pStyle w:val="ListParagraph"/>
              <w:numPr>
                <w:ilvl w:val="0"/>
                <w:numId w:val="37"/>
              </w:numPr>
              <w:ind w:left="288"/>
              <w:jc w:val="center"/>
              <w:rPr>
                <w:rFonts w:asciiTheme="minorHAnsi" w:eastAsia="Times New Roman" w:hAnsiTheme="minorHAnsi" w:cs="Times New Roman"/>
                <w:b/>
                <w:sz w:val="19"/>
                <w:szCs w:val="19"/>
              </w:rPr>
            </w:pPr>
          </w:p>
        </w:tc>
        <w:tc>
          <w:tcPr>
            <w:tcW w:w="9810" w:type="dxa"/>
          </w:tcPr>
          <w:p w14:paraId="3A6B461E" w14:textId="77777777" w:rsidR="00CA7477" w:rsidRPr="00C7486D" w:rsidRDefault="00CA7477">
            <w:pPr>
              <w:rPr>
                <w:rFonts w:asciiTheme="minorHAnsi" w:hAnsiTheme="minorHAnsi"/>
                <w:color w:val="auto"/>
                <w:sz w:val="19"/>
                <w:szCs w:val="19"/>
              </w:rPr>
            </w:pPr>
            <w:r w:rsidRPr="00C7486D">
              <w:rPr>
                <w:rFonts w:asciiTheme="minorHAnsi" w:eastAsia="Times New Roman" w:hAnsiTheme="minorHAnsi" w:cs="Times New Roman"/>
                <w:color w:val="auto"/>
                <w:sz w:val="19"/>
                <w:szCs w:val="19"/>
              </w:rPr>
              <w:t xml:space="preserve">Supports the development of </w:t>
            </w:r>
            <w:r w:rsidRPr="00B4150E">
              <w:rPr>
                <w:rFonts w:asciiTheme="minorHAnsi" w:eastAsia="Times New Roman" w:hAnsiTheme="minorHAnsi" w:cs="Times New Roman"/>
                <w:b/>
                <w:color w:val="auto"/>
                <w:sz w:val="19"/>
                <w:szCs w:val="19"/>
              </w:rPr>
              <w:t>career pathways and stackable credentials</w:t>
            </w:r>
            <w:r w:rsidRPr="00C7486D">
              <w:rPr>
                <w:rFonts w:asciiTheme="minorHAnsi" w:eastAsia="Times New Roman" w:hAnsiTheme="minorHAnsi" w:cs="Times New Roman"/>
                <w:color w:val="auto"/>
                <w:sz w:val="19"/>
                <w:szCs w:val="19"/>
              </w:rPr>
              <w:t>.</w:t>
            </w:r>
            <w:r w:rsidRPr="00C7486D">
              <w:rPr>
                <w:rFonts w:asciiTheme="minorHAnsi" w:hAnsiTheme="minorHAnsi"/>
                <w:color w:val="auto"/>
                <w:sz w:val="19"/>
                <w:szCs w:val="19"/>
              </w:rPr>
              <w:t xml:space="preserve"> </w:t>
            </w:r>
            <w:hyperlink r:id="rId58" w:history="1">
              <w:r w:rsidRPr="00C7486D">
                <w:rPr>
                  <w:rStyle w:val="Hyperlink"/>
                  <w:rFonts w:asciiTheme="minorHAnsi" w:eastAsia="Times New Roman" w:hAnsiTheme="minorHAnsi" w:cs="Times New Roman"/>
                  <w:color w:val="auto"/>
                  <w:sz w:val="19"/>
                  <w:szCs w:val="19"/>
                </w:rPr>
                <w:t>http://www.workforceinfodb.org/PDF/CareerPathwaysToolkit2011.pdf</w:t>
              </w:r>
            </w:hyperlink>
            <w:r w:rsidRPr="00C7486D">
              <w:rPr>
                <w:rFonts w:asciiTheme="minorHAnsi" w:eastAsia="Times New Roman" w:hAnsiTheme="minorHAnsi" w:cs="Times New Roman"/>
                <w:color w:val="auto"/>
                <w:sz w:val="19"/>
                <w:szCs w:val="19"/>
              </w:rPr>
              <w:t xml:space="preserve"> </w:t>
            </w:r>
          </w:p>
          <w:p w14:paraId="406DC9C6" w14:textId="77777777" w:rsidR="00CA7477" w:rsidRPr="00C7486D" w:rsidRDefault="008555A9" w:rsidP="00813BAC">
            <w:pPr>
              <w:rPr>
                <w:rFonts w:asciiTheme="minorHAnsi" w:hAnsiTheme="minorHAnsi"/>
                <w:color w:val="auto"/>
                <w:sz w:val="19"/>
                <w:szCs w:val="19"/>
              </w:rPr>
            </w:pPr>
            <w:hyperlink r:id="rId59">
              <w:r w:rsidR="00CA7477" w:rsidRPr="00C7486D">
                <w:rPr>
                  <w:rFonts w:asciiTheme="minorHAnsi" w:eastAsia="Times New Roman" w:hAnsiTheme="minorHAnsi" w:cs="Times New Roman"/>
                  <w:color w:val="auto"/>
                  <w:sz w:val="19"/>
                  <w:szCs w:val="19"/>
                  <w:u w:val="single"/>
                </w:rPr>
                <w:t>http://2rs11m47n9nefk1rmiofa51a.wpengine.netdna-cdn.com/wp-content/uploads/2015/05/The-Evolution-and-Potential-of-Career-Pathways.pdf</w:t>
              </w:r>
            </w:hyperlink>
            <w:r w:rsidR="00CA7477" w:rsidRPr="00C7486D">
              <w:rPr>
                <w:rFonts w:asciiTheme="minorHAnsi" w:eastAsia="Times New Roman" w:hAnsiTheme="minorHAnsi" w:cs="Times New Roman"/>
                <w:color w:val="auto"/>
                <w:sz w:val="19"/>
                <w:szCs w:val="19"/>
              </w:rPr>
              <w:t xml:space="preserve"> </w:t>
            </w:r>
          </w:p>
        </w:tc>
        <w:tc>
          <w:tcPr>
            <w:tcW w:w="2250" w:type="dxa"/>
          </w:tcPr>
          <w:p w14:paraId="4EE27D0E" w14:textId="77777777" w:rsidR="00CA7477" w:rsidRPr="00C7486D" w:rsidRDefault="00CA7477" w:rsidP="0099185D">
            <w:pPr>
              <w:jc w:val="center"/>
              <w:rPr>
                <w:rFonts w:asciiTheme="minorHAnsi" w:hAnsiTheme="minorHAnsi"/>
                <w:sz w:val="19"/>
                <w:szCs w:val="19"/>
              </w:rPr>
            </w:pPr>
            <w:r w:rsidRPr="00C7486D">
              <w:rPr>
                <w:rFonts w:asciiTheme="minorHAnsi" w:eastAsia="Times New Roman" w:hAnsiTheme="minorHAnsi" w:cs="Times New Roman"/>
                <w:sz w:val="19"/>
                <w:szCs w:val="19"/>
              </w:rPr>
              <w:t>U.S. Departments of Education and Labor</w:t>
            </w:r>
          </w:p>
        </w:tc>
      </w:tr>
      <w:tr w:rsidR="00CA7477" w14:paraId="5C193AD6" w14:textId="77777777" w:rsidTr="00210234">
        <w:tc>
          <w:tcPr>
            <w:tcW w:w="1710" w:type="dxa"/>
            <w:vMerge/>
            <w:shd w:val="clear" w:color="auto" w:fill="DBE5F1"/>
          </w:tcPr>
          <w:p w14:paraId="3F2A699C" w14:textId="77777777" w:rsidR="00CA7477" w:rsidRPr="00A007DE" w:rsidRDefault="00CA7477" w:rsidP="00D74B46">
            <w:pPr>
              <w:rPr>
                <w:rFonts w:asciiTheme="minorHAnsi" w:hAnsiTheme="minorHAnsi"/>
                <w:sz w:val="20"/>
                <w:szCs w:val="20"/>
              </w:rPr>
            </w:pPr>
          </w:p>
        </w:tc>
        <w:tc>
          <w:tcPr>
            <w:tcW w:w="540" w:type="dxa"/>
          </w:tcPr>
          <w:p w14:paraId="59225159" w14:textId="363D31DA" w:rsidR="00CA7477" w:rsidRPr="00C7486D" w:rsidRDefault="00CA7477" w:rsidP="005E223B">
            <w:pPr>
              <w:pStyle w:val="ListParagraph"/>
              <w:numPr>
                <w:ilvl w:val="0"/>
                <w:numId w:val="37"/>
              </w:numPr>
              <w:ind w:left="288"/>
              <w:jc w:val="center"/>
              <w:rPr>
                <w:rFonts w:asciiTheme="minorHAnsi" w:eastAsia="Times New Roman" w:hAnsiTheme="minorHAnsi" w:cs="Times New Roman"/>
                <w:b/>
                <w:sz w:val="19"/>
                <w:szCs w:val="19"/>
              </w:rPr>
            </w:pPr>
          </w:p>
        </w:tc>
        <w:tc>
          <w:tcPr>
            <w:tcW w:w="9810" w:type="dxa"/>
          </w:tcPr>
          <w:p w14:paraId="1497AEB5" w14:textId="3EAA4124" w:rsidR="00CA7477" w:rsidRPr="00C7486D" w:rsidRDefault="00CA7477" w:rsidP="009D378B">
            <w:pPr>
              <w:rPr>
                <w:rFonts w:asciiTheme="minorHAnsi" w:hAnsiTheme="minorHAnsi"/>
                <w:color w:val="auto"/>
                <w:sz w:val="19"/>
                <w:szCs w:val="19"/>
              </w:rPr>
            </w:pPr>
            <w:r w:rsidRPr="00C7486D">
              <w:rPr>
                <w:rFonts w:asciiTheme="minorHAnsi" w:eastAsia="Times New Roman" w:hAnsiTheme="minorHAnsi" w:cs="Times New Roman"/>
                <w:b/>
                <w:color w:val="auto"/>
                <w:sz w:val="19"/>
                <w:szCs w:val="19"/>
              </w:rPr>
              <w:t>Linked Learning pathways</w:t>
            </w:r>
            <w:r w:rsidRPr="00C7486D">
              <w:rPr>
                <w:rFonts w:asciiTheme="minorHAnsi" w:eastAsia="Times New Roman" w:hAnsiTheme="minorHAnsi" w:cs="Times New Roman"/>
                <w:color w:val="auto"/>
                <w:sz w:val="19"/>
                <w:szCs w:val="19"/>
              </w:rPr>
              <w:t xml:space="preserve"> integrate rigorous academics wi</w:t>
            </w:r>
            <w:r>
              <w:rPr>
                <w:rFonts w:asciiTheme="minorHAnsi" w:eastAsia="Times New Roman" w:hAnsiTheme="minorHAnsi" w:cs="Times New Roman"/>
                <w:color w:val="auto"/>
                <w:sz w:val="19"/>
                <w:szCs w:val="19"/>
              </w:rPr>
              <w:t>th career-based learning,  real-</w:t>
            </w:r>
            <w:r w:rsidRPr="00C7486D">
              <w:rPr>
                <w:rFonts w:asciiTheme="minorHAnsi" w:eastAsia="Times New Roman" w:hAnsiTheme="minorHAnsi" w:cs="Times New Roman"/>
                <w:color w:val="auto"/>
                <w:sz w:val="19"/>
                <w:szCs w:val="19"/>
              </w:rPr>
              <w:t>world workplace experiences  and comprehensive support services to prepare students to take credit-bearing college-level courses and be university admissible upon graduation from high school, maximize articulation between high school and postsecondary programs of study, and facilitate and accelerate completion of stackable postsecondary credentials, certificates, and degrees.</w:t>
            </w:r>
          </w:p>
        </w:tc>
        <w:tc>
          <w:tcPr>
            <w:tcW w:w="2250" w:type="dxa"/>
          </w:tcPr>
          <w:p w14:paraId="1A161466" w14:textId="77777777" w:rsidR="00CA7477" w:rsidRPr="00C7486D" w:rsidRDefault="00CA7477" w:rsidP="00C43A54">
            <w:pPr>
              <w:jc w:val="center"/>
              <w:rPr>
                <w:rFonts w:asciiTheme="minorHAnsi" w:hAnsiTheme="minorHAnsi"/>
                <w:sz w:val="19"/>
                <w:szCs w:val="19"/>
              </w:rPr>
            </w:pPr>
            <w:r w:rsidRPr="00C7486D">
              <w:rPr>
                <w:rFonts w:asciiTheme="minorHAnsi" w:eastAsia="Times New Roman" w:hAnsiTheme="minorHAnsi" w:cs="Times New Roman"/>
                <w:sz w:val="19"/>
                <w:szCs w:val="19"/>
              </w:rPr>
              <w:t>James Irvine Foundation, California Department of Education, California Community Colleges</w:t>
            </w:r>
          </w:p>
        </w:tc>
      </w:tr>
      <w:tr w:rsidR="00CA7477" w14:paraId="1234B619" w14:textId="77777777" w:rsidTr="00210234">
        <w:tc>
          <w:tcPr>
            <w:tcW w:w="1710" w:type="dxa"/>
            <w:vMerge/>
            <w:shd w:val="clear" w:color="auto" w:fill="DBE5F1"/>
          </w:tcPr>
          <w:p w14:paraId="4EF2FCE8" w14:textId="77777777" w:rsidR="00CA7477" w:rsidRPr="00A007DE" w:rsidRDefault="00CA7477" w:rsidP="00D74B46">
            <w:pPr>
              <w:rPr>
                <w:rFonts w:asciiTheme="minorHAnsi" w:hAnsiTheme="minorHAnsi"/>
                <w:sz w:val="20"/>
                <w:szCs w:val="20"/>
              </w:rPr>
            </w:pPr>
          </w:p>
        </w:tc>
        <w:tc>
          <w:tcPr>
            <w:tcW w:w="540" w:type="dxa"/>
          </w:tcPr>
          <w:p w14:paraId="5ADD2FF7" w14:textId="64AE3CE7" w:rsidR="00CA7477" w:rsidRPr="00C7486D" w:rsidRDefault="00CA7477" w:rsidP="005E223B">
            <w:pPr>
              <w:pStyle w:val="ListParagraph"/>
              <w:numPr>
                <w:ilvl w:val="0"/>
                <w:numId w:val="37"/>
              </w:numPr>
              <w:ind w:left="288"/>
              <w:jc w:val="center"/>
              <w:rPr>
                <w:rFonts w:asciiTheme="minorHAnsi" w:eastAsia="Times New Roman" w:hAnsiTheme="minorHAnsi" w:cs="Times New Roman"/>
                <w:b/>
                <w:sz w:val="19"/>
                <w:szCs w:val="19"/>
              </w:rPr>
            </w:pPr>
          </w:p>
        </w:tc>
        <w:tc>
          <w:tcPr>
            <w:tcW w:w="9810" w:type="dxa"/>
          </w:tcPr>
          <w:p w14:paraId="7285EED8" w14:textId="63E298F9" w:rsidR="00CA7477" w:rsidRPr="00C7486D" w:rsidRDefault="00CA7477" w:rsidP="009C6D09">
            <w:pPr>
              <w:rPr>
                <w:rFonts w:asciiTheme="minorHAnsi" w:hAnsiTheme="minorHAnsi"/>
                <w:color w:val="auto"/>
                <w:sz w:val="19"/>
                <w:szCs w:val="19"/>
              </w:rPr>
            </w:pPr>
            <w:r w:rsidRPr="00C7486D">
              <w:rPr>
                <w:rFonts w:asciiTheme="minorHAnsi" w:eastAsia="Times New Roman" w:hAnsiTheme="minorHAnsi" w:cs="Times New Roman"/>
                <w:b/>
                <w:color w:val="auto"/>
                <w:sz w:val="19"/>
                <w:szCs w:val="19"/>
              </w:rPr>
              <w:t xml:space="preserve">Pathways to Prosperity program </w:t>
            </w:r>
            <w:r w:rsidRPr="00C7486D">
              <w:rPr>
                <w:rFonts w:asciiTheme="minorHAnsi" w:eastAsia="Times New Roman" w:hAnsiTheme="minorHAnsi" w:cs="Times New Roman"/>
                <w:color w:val="auto"/>
                <w:sz w:val="19"/>
                <w:szCs w:val="19"/>
              </w:rPr>
              <w:t xml:space="preserve">works with 12 states in promoting statewide systems of career pathways for grades 9-14 linking high school, work and community college. In addition, the </w:t>
            </w:r>
            <w:r w:rsidRPr="00C7486D">
              <w:rPr>
                <w:rFonts w:asciiTheme="minorHAnsi" w:eastAsia="Times New Roman" w:hAnsiTheme="minorHAnsi" w:cs="Times New Roman"/>
                <w:b/>
                <w:color w:val="auto"/>
                <w:sz w:val="19"/>
                <w:szCs w:val="19"/>
              </w:rPr>
              <w:t>Policy Leadership T</w:t>
            </w:r>
            <w:r>
              <w:rPr>
                <w:rFonts w:asciiTheme="minorHAnsi" w:eastAsia="Times New Roman" w:hAnsiTheme="minorHAnsi" w:cs="Times New Roman"/>
                <w:b/>
                <w:color w:val="auto"/>
                <w:sz w:val="19"/>
                <w:szCs w:val="19"/>
              </w:rPr>
              <w:t>rust for Student Success has a Task F</w:t>
            </w:r>
            <w:r w:rsidRPr="00C7486D">
              <w:rPr>
                <w:rFonts w:asciiTheme="minorHAnsi" w:eastAsia="Times New Roman" w:hAnsiTheme="minorHAnsi" w:cs="Times New Roman"/>
                <w:b/>
                <w:color w:val="auto"/>
                <w:sz w:val="19"/>
                <w:szCs w:val="19"/>
              </w:rPr>
              <w:t xml:space="preserve">orce on Credit Transfer and one on 'Building Pathways to Credentials </w:t>
            </w:r>
            <w:r w:rsidRPr="00C7486D">
              <w:rPr>
                <w:rFonts w:asciiTheme="minorHAnsi" w:eastAsia="Times New Roman" w:hAnsiTheme="minorHAnsi" w:cs="Times New Roman"/>
                <w:color w:val="auto"/>
                <w:sz w:val="19"/>
                <w:szCs w:val="19"/>
              </w:rPr>
              <w:t>which works with community college presidents and state leaders to inform and influence the policy conditions and state infrastructure that support community college efforts to build clear pathways to credentials.</w:t>
            </w:r>
          </w:p>
        </w:tc>
        <w:tc>
          <w:tcPr>
            <w:tcW w:w="2250" w:type="dxa"/>
          </w:tcPr>
          <w:p w14:paraId="1728C5B0" w14:textId="6039B898" w:rsidR="00CA7477" w:rsidRPr="00C7486D" w:rsidRDefault="00CA7477" w:rsidP="0099185D">
            <w:pPr>
              <w:jc w:val="center"/>
              <w:rPr>
                <w:rFonts w:asciiTheme="minorHAnsi" w:hAnsiTheme="minorHAnsi"/>
                <w:sz w:val="19"/>
                <w:szCs w:val="19"/>
              </w:rPr>
            </w:pPr>
            <w:r w:rsidRPr="00C7486D">
              <w:rPr>
                <w:rFonts w:asciiTheme="minorHAnsi" w:hAnsiTheme="minorHAnsi"/>
                <w:sz w:val="19"/>
                <w:szCs w:val="19"/>
              </w:rPr>
              <w:t>Jobs for the Future</w:t>
            </w:r>
          </w:p>
        </w:tc>
      </w:tr>
      <w:tr w:rsidR="00CA7477" w14:paraId="697CC09A" w14:textId="77777777" w:rsidTr="00210234">
        <w:tc>
          <w:tcPr>
            <w:tcW w:w="1710" w:type="dxa"/>
            <w:vMerge/>
            <w:shd w:val="clear" w:color="auto" w:fill="DBE5F1"/>
          </w:tcPr>
          <w:p w14:paraId="680CBB3F" w14:textId="77777777" w:rsidR="00CA7477" w:rsidRPr="00A007DE" w:rsidRDefault="00CA7477">
            <w:pPr>
              <w:rPr>
                <w:rFonts w:asciiTheme="minorHAnsi" w:hAnsiTheme="minorHAnsi"/>
                <w:sz w:val="20"/>
                <w:szCs w:val="20"/>
              </w:rPr>
            </w:pPr>
          </w:p>
        </w:tc>
        <w:tc>
          <w:tcPr>
            <w:tcW w:w="540" w:type="dxa"/>
          </w:tcPr>
          <w:p w14:paraId="4B785ED1" w14:textId="65068498" w:rsidR="00CA7477" w:rsidRPr="00C7486D" w:rsidRDefault="00CA7477" w:rsidP="005E223B">
            <w:pPr>
              <w:pStyle w:val="ListParagraph"/>
              <w:numPr>
                <w:ilvl w:val="0"/>
                <w:numId w:val="37"/>
              </w:numPr>
              <w:ind w:left="288"/>
              <w:jc w:val="center"/>
              <w:rPr>
                <w:rFonts w:asciiTheme="minorHAnsi" w:eastAsia="Times New Roman" w:hAnsiTheme="minorHAnsi" w:cs="Times New Roman"/>
                <w:sz w:val="19"/>
                <w:szCs w:val="19"/>
              </w:rPr>
            </w:pPr>
          </w:p>
        </w:tc>
        <w:tc>
          <w:tcPr>
            <w:tcW w:w="9810" w:type="dxa"/>
          </w:tcPr>
          <w:p w14:paraId="63DA4639" w14:textId="04327F02" w:rsidR="00CA7477" w:rsidRPr="00C7486D" w:rsidRDefault="00CA7477" w:rsidP="00B4150E">
            <w:pPr>
              <w:rPr>
                <w:rFonts w:asciiTheme="minorHAnsi" w:hAnsiTheme="minorHAnsi"/>
                <w:color w:val="auto"/>
                <w:sz w:val="19"/>
                <w:szCs w:val="19"/>
              </w:rPr>
            </w:pPr>
            <w:r w:rsidRPr="00C7486D">
              <w:rPr>
                <w:rFonts w:asciiTheme="minorHAnsi" w:eastAsia="Times New Roman" w:hAnsiTheme="minorHAnsi" w:cs="Times New Roman"/>
                <w:b/>
                <w:color w:val="auto"/>
                <w:sz w:val="19"/>
                <w:szCs w:val="19"/>
              </w:rPr>
              <w:t>Bridge the Divide</w:t>
            </w:r>
            <w:r w:rsidRPr="00C7486D">
              <w:rPr>
                <w:rFonts w:asciiTheme="minorHAnsi" w:eastAsia="Times New Roman" w:hAnsiTheme="minorHAnsi" w:cs="Times New Roman"/>
                <w:color w:val="auto"/>
                <w:sz w:val="19"/>
                <w:szCs w:val="19"/>
              </w:rPr>
              <w:t xml:space="preserve"> program facilitates course content alignment from high school to community college to career. This fast track process results in the clear articulation of knowledge and skill accumulation and learning outcomes across courses and programs of study</w:t>
            </w:r>
            <w:r>
              <w:rPr>
                <w:rFonts w:asciiTheme="minorHAnsi" w:eastAsia="Times New Roman" w:hAnsiTheme="minorHAnsi" w:cs="Times New Roman"/>
                <w:color w:val="auto"/>
                <w:sz w:val="19"/>
                <w:szCs w:val="19"/>
              </w:rPr>
              <w:t>. It</w:t>
            </w:r>
            <w:r w:rsidRPr="00C7486D">
              <w:rPr>
                <w:rFonts w:asciiTheme="minorHAnsi" w:eastAsia="Times New Roman" w:hAnsiTheme="minorHAnsi" w:cs="Times New Roman"/>
                <w:color w:val="auto"/>
                <w:sz w:val="19"/>
                <w:szCs w:val="19"/>
              </w:rPr>
              <w:t xml:space="preserve"> engages and empowers faculty to examine, analyze and operationalize curricular alignment within an academic discipline. The program can be customized and configured to benchmark against any standards framework, including Common Core State Standards, DQP, and LEAP. </w:t>
            </w:r>
            <w:hyperlink r:id="rId60" w:history="1">
              <w:r w:rsidRPr="00C7486D">
                <w:rPr>
                  <w:rStyle w:val="Hyperlink"/>
                  <w:rFonts w:asciiTheme="minorHAnsi" w:eastAsia="Times New Roman" w:hAnsiTheme="minorHAnsi" w:cs="Times New Roman"/>
                  <w:color w:val="auto"/>
                  <w:sz w:val="19"/>
                  <w:szCs w:val="19"/>
                </w:rPr>
                <w:t>http://www.epiconline.org/what-we-do/bridge-the-divide/</w:t>
              </w:r>
            </w:hyperlink>
            <w:r w:rsidRPr="00C7486D">
              <w:rPr>
                <w:rFonts w:asciiTheme="minorHAnsi" w:eastAsia="Times New Roman" w:hAnsiTheme="minorHAnsi" w:cs="Times New Roman"/>
                <w:color w:val="auto"/>
                <w:sz w:val="19"/>
                <w:szCs w:val="19"/>
              </w:rPr>
              <w:t xml:space="preserve"> </w:t>
            </w:r>
          </w:p>
        </w:tc>
        <w:tc>
          <w:tcPr>
            <w:tcW w:w="2250" w:type="dxa"/>
          </w:tcPr>
          <w:p w14:paraId="47C4F1CA" w14:textId="26CC17F4" w:rsidR="00CA7477" w:rsidRPr="00C7486D" w:rsidRDefault="00CA7477" w:rsidP="00E84FA2">
            <w:pPr>
              <w:jc w:val="center"/>
              <w:rPr>
                <w:rFonts w:asciiTheme="minorHAnsi" w:hAnsiTheme="minorHAnsi"/>
                <w:sz w:val="19"/>
                <w:szCs w:val="19"/>
              </w:rPr>
            </w:pPr>
            <w:r w:rsidRPr="00C7486D">
              <w:rPr>
                <w:rFonts w:asciiTheme="minorHAnsi" w:hAnsiTheme="minorHAnsi"/>
                <w:sz w:val="19"/>
                <w:szCs w:val="19"/>
              </w:rPr>
              <w:t xml:space="preserve">Educational Policy Improvement Center </w:t>
            </w:r>
          </w:p>
        </w:tc>
      </w:tr>
      <w:tr w:rsidR="00CA7477" w14:paraId="5C3EAD63" w14:textId="77777777" w:rsidTr="00210234">
        <w:tc>
          <w:tcPr>
            <w:tcW w:w="1710" w:type="dxa"/>
            <w:vMerge w:val="restart"/>
            <w:shd w:val="clear" w:color="auto" w:fill="DBE5F1"/>
          </w:tcPr>
          <w:p w14:paraId="124B785B" w14:textId="77777777" w:rsidR="00CA7477" w:rsidRPr="00A007DE" w:rsidRDefault="00CA7477" w:rsidP="00CA7477">
            <w:pPr>
              <w:rPr>
                <w:rFonts w:asciiTheme="minorHAnsi" w:eastAsia="Times New Roman" w:hAnsiTheme="minorHAnsi" w:cs="Times New Roman"/>
                <w:sz w:val="20"/>
                <w:szCs w:val="20"/>
              </w:rPr>
            </w:pPr>
          </w:p>
          <w:p w14:paraId="7454F367" w14:textId="77777777" w:rsidR="00CA7477" w:rsidRPr="00A007DE" w:rsidRDefault="00CA7477" w:rsidP="00CA7477">
            <w:pPr>
              <w:rPr>
                <w:rFonts w:asciiTheme="minorHAnsi" w:eastAsia="Times New Roman" w:hAnsiTheme="minorHAnsi" w:cs="Times New Roman"/>
                <w:sz w:val="20"/>
                <w:szCs w:val="20"/>
              </w:rPr>
            </w:pPr>
          </w:p>
          <w:p w14:paraId="7A0AA708" w14:textId="77777777" w:rsidR="00CA7477" w:rsidRPr="00A007DE" w:rsidRDefault="00CA7477" w:rsidP="00CA7477">
            <w:pPr>
              <w:rPr>
                <w:rFonts w:asciiTheme="minorHAnsi" w:eastAsia="Times New Roman" w:hAnsiTheme="minorHAnsi" w:cs="Times New Roman"/>
                <w:sz w:val="20"/>
                <w:szCs w:val="20"/>
              </w:rPr>
            </w:pPr>
          </w:p>
          <w:p w14:paraId="05B6DE6A" w14:textId="77777777" w:rsidR="00CA7477" w:rsidRPr="00A007DE" w:rsidRDefault="00CA7477" w:rsidP="00CA7477">
            <w:pPr>
              <w:rPr>
                <w:rFonts w:asciiTheme="minorHAnsi" w:hAnsiTheme="minorHAnsi"/>
                <w:sz w:val="20"/>
                <w:szCs w:val="20"/>
              </w:rPr>
            </w:pPr>
            <w:r w:rsidRPr="00A007DE">
              <w:rPr>
                <w:rFonts w:asciiTheme="minorHAnsi" w:eastAsia="Times New Roman" w:hAnsiTheme="minorHAnsi" w:cs="Times New Roman"/>
                <w:sz w:val="20"/>
                <w:szCs w:val="20"/>
              </w:rPr>
              <w:t>Academic and career guidance and navigation supports</w:t>
            </w:r>
          </w:p>
          <w:p w14:paraId="537F2967" w14:textId="77777777" w:rsidR="00CA7477" w:rsidRPr="00A007DE" w:rsidRDefault="00CA7477" w:rsidP="00CA7477">
            <w:pPr>
              <w:rPr>
                <w:rFonts w:asciiTheme="minorHAnsi" w:hAnsiTheme="minorHAnsi"/>
                <w:sz w:val="20"/>
                <w:szCs w:val="20"/>
              </w:rPr>
            </w:pPr>
          </w:p>
          <w:p w14:paraId="44AF4D73" w14:textId="77777777" w:rsidR="00CA7477" w:rsidRPr="00A007DE" w:rsidRDefault="00CA7477">
            <w:pPr>
              <w:rPr>
                <w:rFonts w:asciiTheme="minorHAnsi" w:hAnsiTheme="minorHAnsi"/>
                <w:sz w:val="20"/>
                <w:szCs w:val="20"/>
              </w:rPr>
            </w:pPr>
          </w:p>
        </w:tc>
        <w:tc>
          <w:tcPr>
            <w:tcW w:w="540" w:type="dxa"/>
          </w:tcPr>
          <w:p w14:paraId="143B0BEC" w14:textId="77777777" w:rsidR="00CA7477" w:rsidRPr="00C7486D" w:rsidRDefault="00CA7477" w:rsidP="005E223B">
            <w:pPr>
              <w:pStyle w:val="ListParagraph"/>
              <w:numPr>
                <w:ilvl w:val="0"/>
                <w:numId w:val="37"/>
              </w:numPr>
              <w:ind w:left="288"/>
              <w:jc w:val="center"/>
              <w:rPr>
                <w:rFonts w:asciiTheme="minorHAnsi" w:eastAsia="Times New Roman" w:hAnsiTheme="minorHAnsi" w:cs="Times New Roman"/>
                <w:sz w:val="19"/>
                <w:szCs w:val="19"/>
              </w:rPr>
            </w:pPr>
          </w:p>
        </w:tc>
        <w:tc>
          <w:tcPr>
            <w:tcW w:w="9810" w:type="dxa"/>
          </w:tcPr>
          <w:p w14:paraId="384519BA" w14:textId="5064244A" w:rsidR="00CA7477" w:rsidRPr="00C7486D" w:rsidRDefault="00CA7477" w:rsidP="00B4150E">
            <w:pPr>
              <w:rPr>
                <w:rFonts w:asciiTheme="minorHAnsi" w:eastAsia="Times New Roman" w:hAnsiTheme="minorHAnsi" w:cs="Times New Roman"/>
                <w:b/>
                <w:color w:val="auto"/>
                <w:sz w:val="19"/>
                <w:szCs w:val="19"/>
              </w:rPr>
            </w:pPr>
            <w:r w:rsidRPr="009E7105">
              <w:rPr>
                <w:rFonts w:asciiTheme="minorHAnsi" w:eastAsia="Times New Roman" w:hAnsiTheme="minorHAnsi" w:cs="Times New Roman"/>
                <w:b/>
                <w:color w:val="auto"/>
                <w:sz w:val="19"/>
                <w:szCs w:val="19"/>
              </w:rPr>
              <w:t>Career One Stop Credentials Center</w:t>
            </w:r>
            <w:r w:rsidRPr="009E7105">
              <w:rPr>
                <w:rFonts w:asciiTheme="minorHAnsi" w:eastAsia="Times New Roman" w:hAnsiTheme="minorHAnsi" w:cs="Times New Roman"/>
                <w:color w:val="auto"/>
                <w:sz w:val="19"/>
                <w:szCs w:val="19"/>
              </w:rPr>
              <w:t xml:space="preserve"> offers credentials, licenses and apprenticeship finders, other career guidance materials, and the Competency Model Clearinghouse.  </w:t>
            </w:r>
            <w:hyperlink r:id="rId61" w:history="1">
              <w:r w:rsidRPr="009E7105">
                <w:rPr>
                  <w:rStyle w:val="Hyperlink"/>
                  <w:rFonts w:asciiTheme="minorHAnsi" w:eastAsia="Times New Roman" w:hAnsiTheme="minorHAnsi" w:cs="Times New Roman"/>
                  <w:color w:val="auto"/>
                  <w:sz w:val="19"/>
                  <w:szCs w:val="19"/>
                </w:rPr>
                <w:t>http://www.careeronestop.org/credentials/index.aspx</w:t>
              </w:r>
            </w:hyperlink>
          </w:p>
        </w:tc>
        <w:tc>
          <w:tcPr>
            <w:tcW w:w="2250" w:type="dxa"/>
          </w:tcPr>
          <w:p w14:paraId="4DF8C8DD" w14:textId="2CD11CDA" w:rsidR="00CA7477" w:rsidRPr="00C7486D" w:rsidRDefault="00CA7477" w:rsidP="00E84FA2">
            <w:pPr>
              <w:jc w:val="center"/>
              <w:rPr>
                <w:rFonts w:asciiTheme="minorHAnsi" w:hAnsiTheme="minorHAnsi"/>
                <w:sz w:val="19"/>
                <w:szCs w:val="19"/>
              </w:rPr>
            </w:pPr>
            <w:r w:rsidRPr="009E7105">
              <w:rPr>
                <w:rFonts w:asciiTheme="minorHAnsi" w:hAnsiTheme="minorHAnsi" w:cs="Times New Roman"/>
                <w:sz w:val="19"/>
                <w:szCs w:val="19"/>
              </w:rPr>
              <w:t>U.S. Department of Labor</w:t>
            </w:r>
          </w:p>
        </w:tc>
      </w:tr>
      <w:tr w:rsidR="00CA7477" w14:paraId="39876689" w14:textId="77777777" w:rsidTr="00210234">
        <w:tc>
          <w:tcPr>
            <w:tcW w:w="1710" w:type="dxa"/>
            <w:vMerge/>
            <w:shd w:val="clear" w:color="auto" w:fill="DBE5F1"/>
          </w:tcPr>
          <w:p w14:paraId="5B151A42" w14:textId="77777777" w:rsidR="00CA7477" w:rsidRPr="00A007DE" w:rsidRDefault="00CA7477" w:rsidP="00CA7477">
            <w:pPr>
              <w:rPr>
                <w:rFonts w:asciiTheme="minorHAnsi" w:eastAsia="Times New Roman" w:hAnsiTheme="minorHAnsi" w:cs="Times New Roman"/>
                <w:sz w:val="20"/>
                <w:szCs w:val="20"/>
              </w:rPr>
            </w:pPr>
          </w:p>
        </w:tc>
        <w:tc>
          <w:tcPr>
            <w:tcW w:w="540" w:type="dxa"/>
          </w:tcPr>
          <w:p w14:paraId="539D313D" w14:textId="77777777" w:rsidR="00CA7477" w:rsidRPr="00C7486D" w:rsidRDefault="00CA7477" w:rsidP="005E223B">
            <w:pPr>
              <w:pStyle w:val="ListParagraph"/>
              <w:numPr>
                <w:ilvl w:val="0"/>
                <w:numId w:val="37"/>
              </w:numPr>
              <w:ind w:left="288"/>
              <w:jc w:val="center"/>
              <w:rPr>
                <w:rFonts w:asciiTheme="minorHAnsi" w:eastAsia="Times New Roman" w:hAnsiTheme="minorHAnsi" w:cs="Times New Roman"/>
                <w:sz w:val="19"/>
                <w:szCs w:val="19"/>
              </w:rPr>
            </w:pPr>
          </w:p>
        </w:tc>
        <w:tc>
          <w:tcPr>
            <w:tcW w:w="9810" w:type="dxa"/>
          </w:tcPr>
          <w:p w14:paraId="5076D424" w14:textId="6255564A" w:rsidR="00CA7477" w:rsidRPr="009E7105" w:rsidRDefault="00CA7477" w:rsidP="00B4150E">
            <w:pPr>
              <w:rPr>
                <w:rFonts w:asciiTheme="minorHAnsi" w:eastAsia="Times New Roman" w:hAnsiTheme="minorHAnsi" w:cs="Times New Roman"/>
                <w:b/>
                <w:color w:val="auto"/>
                <w:sz w:val="19"/>
                <w:szCs w:val="19"/>
              </w:rPr>
            </w:pPr>
            <w:r w:rsidRPr="009E7105">
              <w:rPr>
                <w:rFonts w:asciiTheme="minorHAnsi" w:eastAsia="Times New Roman" w:hAnsiTheme="minorHAnsi" w:cs="Times New Roman"/>
                <w:b/>
                <w:color w:val="auto"/>
                <w:sz w:val="19"/>
                <w:szCs w:val="19"/>
              </w:rPr>
              <w:t xml:space="preserve">SCTrac </w:t>
            </w:r>
            <w:r w:rsidRPr="009E7105">
              <w:rPr>
                <w:rFonts w:asciiTheme="minorHAnsi" w:eastAsia="Times New Roman" w:hAnsiTheme="minorHAnsi" w:cs="Times New Roman"/>
                <w:color w:val="auto"/>
                <w:sz w:val="19"/>
                <w:szCs w:val="19"/>
              </w:rPr>
              <w:t xml:space="preserve"> helps guide prospective and enrolled students navigate and stay on track with twelve hundred degree pathways offered by thirty three two and four year institutions with real-time academic progress reporting, transfer check and tracking. </w:t>
            </w:r>
            <w:hyperlink r:id="rId62" w:history="1">
              <w:r w:rsidRPr="009E7105">
                <w:rPr>
                  <w:rStyle w:val="Hyperlink"/>
                  <w:rFonts w:asciiTheme="minorHAnsi" w:eastAsia="Times New Roman" w:hAnsiTheme="minorHAnsi" w:cs="Times New Roman"/>
                  <w:color w:val="auto"/>
                  <w:sz w:val="19"/>
                  <w:szCs w:val="19"/>
                </w:rPr>
                <w:t>https://www.sctrac.org/</w:t>
              </w:r>
            </w:hyperlink>
            <w:r w:rsidRPr="009E7105">
              <w:rPr>
                <w:rFonts w:asciiTheme="minorHAnsi" w:eastAsia="Times New Roman" w:hAnsiTheme="minorHAnsi" w:cs="Times New Roman"/>
                <w:color w:val="auto"/>
                <w:sz w:val="19"/>
                <w:szCs w:val="19"/>
              </w:rPr>
              <w:t xml:space="preserve"> </w:t>
            </w:r>
          </w:p>
        </w:tc>
        <w:tc>
          <w:tcPr>
            <w:tcW w:w="2250" w:type="dxa"/>
          </w:tcPr>
          <w:p w14:paraId="79B540E4" w14:textId="7EDC4DE3" w:rsidR="00CA7477" w:rsidRPr="009E7105" w:rsidRDefault="00CA7477" w:rsidP="00E84FA2">
            <w:pPr>
              <w:jc w:val="center"/>
              <w:rPr>
                <w:rFonts w:asciiTheme="minorHAnsi" w:hAnsiTheme="minorHAnsi" w:cs="Times New Roman"/>
                <w:sz w:val="19"/>
                <w:szCs w:val="19"/>
              </w:rPr>
            </w:pPr>
            <w:r w:rsidRPr="009E7105">
              <w:rPr>
                <w:rFonts w:asciiTheme="minorHAnsi" w:eastAsia="Times New Roman" w:hAnsiTheme="minorHAnsi" w:cs="Times New Roman"/>
                <w:sz w:val="19"/>
                <w:szCs w:val="19"/>
              </w:rPr>
              <w:t>South Carolina Commission on Higher Education, AcademyOne</w:t>
            </w:r>
          </w:p>
        </w:tc>
      </w:tr>
      <w:tr w:rsidR="00CA7477" w14:paraId="76609CEC" w14:textId="77777777" w:rsidTr="00210234">
        <w:tc>
          <w:tcPr>
            <w:tcW w:w="1710" w:type="dxa"/>
            <w:vMerge/>
            <w:shd w:val="clear" w:color="auto" w:fill="DBE5F1"/>
          </w:tcPr>
          <w:p w14:paraId="686D1464" w14:textId="77777777" w:rsidR="00CA7477" w:rsidRPr="00A007DE" w:rsidRDefault="00CA7477" w:rsidP="00CA7477">
            <w:pPr>
              <w:rPr>
                <w:rFonts w:asciiTheme="minorHAnsi" w:eastAsia="Times New Roman" w:hAnsiTheme="minorHAnsi" w:cs="Times New Roman"/>
                <w:sz w:val="20"/>
                <w:szCs w:val="20"/>
              </w:rPr>
            </w:pPr>
          </w:p>
        </w:tc>
        <w:tc>
          <w:tcPr>
            <w:tcW w:w="540" w:type="dxa"/>
          </w:tcPr>
          <w:p w14:paraId="3BB4412B" w14:textId="77777777" w:rsidR="00CA7477" w:rsidRPr="00C7486D" w:rsidRDefault="00CA7477" w:rsidP="005E223B">
            <w:pPr>
              <w:pStyle w:val="ListParagraph"/>
              <w:numPr>
                <w:ilvl w:val="0"/>
                <w:numId w:val="37"/>
              </w:numPr>
              <w:ind w:left="288"/>
              <w:jc w:val="center"/>
              <w:rPr>
                <w:rFonts w:asciiTheme="minorHAnsi" w:eastAsia="Times New Roman" w:hAnsiTheme="minorHAnsi" w:cs="Times New Roman"/>
                <w:sz w:val="19"/>
                <w:szCs w:val="19"/>
              </w:rPr>
            </w:pPr>
          </w:p>
        </w:tc>
        <w:tc>
          <w:tcPr>
            <w:tcW w:w="9810" w:type="dxa"/>
          </w:tcPr>
          <w:p w14:paraId="0D34E205" w14:textId="5F780190" w:rsidR="00CA7477" w:rsidRPr="009E7105" w:rsidRDefault="00CA7477" w:rsidP="00B4150E">
            <w:pPr>
              <w:rPr>
                <w:rFonts w:asciiTheme="minorHAnsi" w:eastAsia="Times New Roman" w:hAnsiTheme="minorHAnsi" w:cs="Times New Roman"/>
                <w:b/>
                <w:color w:val="auto"/>
                <w:sz w:val="19"/>
                <w:szCs w:val="19"/>
              </w:rPr>
            </w:pPr>
            <w:r w:rsidRPr="009E7105">
              <w:rPr>
                <w:rFonts w:asciiTheme="minorHAnsi" w:eastAsia="Times New Roman" w:hAnsiTheme="minorHAnsi" w:cs="Times New Roman"/>
                <w:b/>
                <w:color w:val="auto"/>
                <w:sz w:val="19"/>
                <w:szCs w:val="19"/>
              </w:rPr>
              <w:t xml:space="preserve">Florida Shines </w:t>
            </w:r>
            <w:r w:rsidRPr="009E7105">
              <w:rPr>
                <w:rFonts w:asciiTheme="minorHAnsi" w:eastAsia="Times New Roman" w:hAnsiTheme="minorHAnsi" w:cs="Times New Roman"/>
                <w:color w:val="auto"/>
                <w:sz w:val="19"/>
                <w:szCs w:val="19"/>
              </w:rPr>
              <w:t xml:space="preserve">helps prospective and enrolled learners browse schools, programs of study, review academic transcripts, check requirements with progress to completion, search libraries, find and register for online transferable courses, explore career pathways, scholarships and more.  Florida Shines utilizes a real-time interconnected platform developed by AcademyOne with 40 participating State colleges and universities.  </w:t>
            </w:r>
            <w:hyperlink r:id="rId63" w:history="1">
              <w:r w:rsidRPr="009E7105">
                <w:rPr>
                  <w:rStyle w:val="Hyperlink"/>
                  <w:rFonts w:asciiTheme="minorHAnsi" w:eastAsia="Times New Roman" w:hAnsiTheme="minorHAnsi" w:cs="Times New Roman"/>
                  <w:color w:val="auto"/>
                  <w:sz w:val="19"/>
                  <w:szCs w:val="19"/>
                </w:rPr>
                <w:t>https://www.floridashines.org/</w:t>
              </w:r>
            </w:hyperlink>
          </w:p>
        </w:tc>
        <w:tc>
          <w:tcPr>
            <w:tcW w:w="2250" w:type="dxa"/>
          </w:tcPr>
          <w:p w14:paraId="40CF93A9" w14:textId="0A20D9AE" w:rsidR="00CA7477" w:rsidRPr="009E7105" w:rsidRDefault="00CA7477" w:rsidP="00E84FA2">
            <w:pPr>
              <w:jc w:val="center"/>
              <w:rPr>
                <w:rFonts w:asciiTheme="minorHAnsi" w:hAnsiTheme="minorHAnsi" w:cs="Times New Roman"/>
                <w:sz w:val="19"/>
                <w:szCs w:val="19"/>
              </w:rPr>
            </w:pPr>
            <w:r w:rsidRPr="009E7105">
              <w:rPr>
                <w:rFonts w:asciiTheme="minorHAnsi" w:eastAsia="Times New Roman" w:hAnsiTheme="minorHAnsi" w:cs="Times New Roman"/>
                <w:sz w:val="19"/>
                <w:szCs w:val="19"/>
              </w:rPr>
              <w:t>Florida, AcademyOne</w:t>
            </w:r>
          </w:p>
        </w:tc>
      </w:tr>
      <w:tr w:rsidR="00CA7477" w14:paraId="758BBD46" w14:textId="77777777" w:rsidTr="00210234">
        <w:tc>
          <w:tcPr>
            <w:tcW w:w="1710" w:type="dxa"/>
            <w:vMerge/>
            <w:shd w:val="clear" w:color="auto" w:fill="DBE5F1"/>
          </w:tcPr>
          <w:p w14:paraId="1B05FB98" w14:textId="77777777" w:rsidR="00CA7477" w:rsidRPr="00A007DE" w:rsidRDefault="00CA7477" w:rsidP="00CA7477">
            <w:pPr>
              <w:rPr>
                <w:rFonts w:asciiTheme="minorHAnsi" w:eastAsia="Times New Roman" w:hAnsiTheme="minorHAnsi" w:cs="Times New Roman"/>
                <w:sz w:val="20"/>
                <w:szCs w:val="20"/>
              </w:rPr>
            </w:pPr>
          </w:p>
        </w:tc>
        <w:tc>
          <w:tcPr>
            <w:tcW w:w="540" w:type="dxa"/>
          </w:tcPr>
          <w:p w14:paraId="4F91A439" w14:textId="77777777" w:rsidR="00CA7477" w:rsidRPr="00C7486D" w:rsidRDefault="00CA7477" w:rsidP="005E223B">
            <w:pPr>
              <w:pStyle w:val="ListParagraph"/>
              <w:numPr>
                <w:ilvl w:val="0"/>
                <w:numId w:val="37"/>
              </w:numPr>
              <w:ind w:left="288"/>
              <w:jc w:val="center"/>
              <w:rPr>
                <w:rFonts w:asciiTheme="minorHAnsi" w:eastAsia="Times New Roman" w:hAnsiTheme="minorHAnsi" w:cs="Times New Roman"/>
                <w:sz w:val="19"/>
                <w:szCs w:val="19"/>
              </w:rPr>
            </w:pPr>
          </w:p>
        </w:tc>
        <w:tc>
          <w:tcPr>
            <w:tcW w:w="9810" w:type="dxa"/>
          </w:tcPr>
          <w:p w14:paraId="21560CC7" w14:textId="1295EFA9" w:rsidR="00CA7477" w:rsidRPr="009E7105" w:rsidRDefault="00CA7477" w:rsidP="00B4150E">
            <w:pPr>
              <w:rPr>
                <w:rFonts w:asciiTheme="minorHAnsi" w:eastAsia="Times New Roman" w:hAnsiTheme="minorHAnsi" w:cs="Times New Roman"/>
                <w:b/>
                <w:color w:val="auto"/>
                <w:sz w:val="19"/>
                <w:szCs w:val="19"/>
              </w:rPr>
            </w:pPr>
            <w:r w:rsidRPr="009E7105">
              <w:rPr>
                <w:rFonts w:asciiTheme="minorHAnsi" w:eastAsia="Times New Roman" w:hAnsiTheme="minorHAnsi" w:cs="Times New Roman"/>
                <w:b/>
                <w:color w:val="auto"/>
                <w:sz w:val="19"/>
                <w:szCs w:val="19"/>
              </w:rPr>
              <w:t>MyBestBets</w:t>
            </w:r>
            <w:r w:rsidRPr="009E7105">
              <w:rPr>
                <w:rFonts w:asciiTheme="minorHAnsi" w:eastAsia="Times New Roman" w:hAnsiTheme="minorHAnsi" w:cs="Times New Roman"/>
                <w:color w:val="auto"/>
                <w:sz w:val="19"/>
                <w:szCs w:val="19"/>
              </w:rPr>
              <w:t xml:space="preserve"> is a web and mobile application that supports low-income young adults in answering important career questions by guiding them to the right choices when it comes to postsecondary education and training pathways.</w:t>
            </w:r>
          </w:p>
        </w:tc>
        <w:tc>
          <w:tcPr>
            <w:tcW w:w="2250" w:type="dxa"/>
          </w:tcPr>
          <w:p w14:paraId="7D35019C" w14:textId="1D17EE67" w:rsidR="00CA7477" w:rsidRPr="009E7105" w:rsidRDefault="00CA7477" w:rsidP="00E84FA2">
            <w:pPr>
              <w:jc w:val="center"/>
              <w:rPr>
                <w:rFonts w:asciiTheme="minorHAnsi" w:hAnsiTheme="minorHAnsi" w:cs="Times New Roman"/>
                <w:sz w:val="19"/>
                <w:szCs w:val="19"/>
              </w:rPr>
            </w:pPr>
            <w:r w:rsidRPr="009E7105">
              <w:rPr>
                <w:rFonts w:asciiTheme="minorHAnsi" w:eastAsia="Times New Roman" w:hAnsiTheme="minorHAnsi" w:cs="Times New Roman"/>
                <w:sz w:val="19"/>
                <w:szCs w:val="19"/>
              </w:rPr>
              <w:t>JFF, YouthBuild</w:t>
            </w:r>
          </w:p>
        </w:tc>
      </w:tr>
      <w:tr w:rsidR="00CA7477" w14:paraId="414539F8" w14:textId="77777777" w:rsidTr="00210234">
        <w:tc>
          <w:tcPr>
            <w:tcW w:w="1710" w:type="dxa"/>
            <w:vMerge/>
            <w:shd w:val="clear" w:color="auto" w:fill="DBE5F1"/>
          </w:tcPr>
          <w:p w14:paraId="04264DB4" w14:textId="77777777" w:rsidR="00CA7477" w:rsidRPr="00A007DE" w:rsidRDefault="00CA7477" w:rsidP="00CA7477">
            <w:pPr>
              <w:rPr>
                <w:rFonts w:asciiTheme="minorHAnsi" w:eastAsia="Times New Roman" w:hAnsiTheme="minorHAnsi" w:cs="Times New Roman"/>
                <w:sz w:val="20"/>
                <w:szCs w:val="20"/>
              </w:rPr>
            </w:pPr>
          </w:p>
        </w:tc>
        <w:tc>
          <w:tcPr>
            <w:tcW w:w="540" w:type="dxa"/>
          </w:tcPr>
          <w:p w14:paraId="4C7FAC29" w14:textId="77777777" w:rsidR="00CA7477" w:rsidRPr="00C7486D" w:rsidRDefault="00CA7477" w:rsidP="005E223B">
            <w:pPr>
              <w:pStyle w:val="ListParagraph"/>
              <w:numPr>
                <w:ilvl w:val="0"/>
                <w:numId w:val="37"/>
              </w:numPr>
              <w:ind w:left="288"/>
              <w:jc w:val="center"/>
              <w:rPr>
                <w:rFonts w:asciiTheme="minorHAnsi" w:eastAsia="Times New Roman" w:hAnsiTheme="minorHAnsi" w:cs="Times New Roman"/>
                <w:sz w:val="19"/>
                <w:szCs w:val="19"/>
              </w:rPr>
            </w:pPr>
          </w:p>
        </w:tc>
        <w:tc>
          <w:tcPr>
            <w:tcW w:w="9810" w:type="dxa"/>
          </w:tcPr>
          <w:p w14:paraId="58FC7C75" w14:textId="4AE2FE5F" w:rsidR="00CA7477" w:rsidRPr="009E7105" w:rsidRDefault="00CA7477" w:rsidP="00B4150E">
            <w:pPr>
              <w:rPr>
                <w:rFonts w:asciiTheme="minorHAnsi" w:eastAsia="Times New Roman" w:hAnsiTheme="minorHAnsi" w:cs="Times New Roman"/>
                <w:b/>
                <w:color w:val="auto"/>
                <w:sz w:val="19"/>
                <w:szCs w:val="19"/>
              </w:rPr>
            </w:pPr>
            <w:r w:rsidRPr="009E7105">
              <w:rPr>
                <w:rFonts w:asciiTheme="minorHAnsi" w:eastAsia="Times New Roman" w:hAnsiTheme="minorHAnsi" w:cs="Times New Roman"/>
                <w:b/>
                <w:color w:val="auto"/>
                <w:sz w:val="19"/>
                <w:szCs w:val="19"/>
              </w:rPr>
              <w:t>Purpose First</w:t>
            </w:r>
            <w:r w:rsidRPr="009E7105">
              <w:rPr>
                <w:rFonts w:asciiTheme="minorHAnsi" w:eastAsia="Times New Roman" w:hAnsiTheme="minorHAnsi" w:cs="Times New Roman"/>
                <w:color w:val="auto"/>
                <w:sz w:val="19"/>
                <w:szCs w:val="19"/>
              </w:rPr>
              <w:t xml:space="preserve"> initiative focuses on better aligning academic and career plans from the start of degree or credential program. It will include advising, use of relevant tools, connection to labor market information, inclusion of career guidance in the curriculum, and connections to employers for work-based learning opportunities.  The </w:t>
            </w:r>
            <w:r w:rsidRPr="009E7105">
              <w:rPr>
                <w:rFonts w:asciiTheme="minorHAnsi" w:eastAsia="Times New Roman" w:hAnsiTheme="minorHAnsi" w:cs="Times New Roman"/>
                <w:b/>
                <w:color w:val="auto"/>
                <w:sz w:val="19"/>
                <w:szCs w:val="19"/>
              </w:rPr>
              <w:t xml:space="preserve">GPS </w:t>
            </w:r>
            <w:r w:rsidRPr="009E7105">
              <w:rPr>
                <w:rFonts w:asciiTheme="minorHAnsi" w:eastAsia="Times New Roman" w:hAnsiTheme="minorHAnsi" w:cs="Times New Roman"/>
                <w:color w:val="auto"/>
                <w:sz w:val="19"/>
                <w:szCs w:val="19"/>
              </w:rPr>
              <w:t>strategy also focuses on structuring programs to allow students to easily navigate via academic maps and default schedules, as well as to receive critical support and guidance via intrusive advising and a funneling process to determine career interests early in a program.</w:t>
            </w:r>
          </w:p>
        </w:tc>
        <w:tc>
          <w:tcPr>
            <w:tcW w:w="2250" w:type="dxa"/>
          </w:tcPr>
          <w:p w14:paraId="01456B1E" w14:textId="77777777" w:rsidR="00CA7477" w:rsidRPr="009E7105" w:rsidRDefault="00CA7477" w:rsidP="00CA7477">
            <w:pPr>
              <w:jc w:val="center"/>
              <w:rPr>
                <w:rFonts w:asciiTheme="minorHAnsi" w:hAnsiTheme="minorHAnsi" w:cs="Times New Roman"/>
                <w:sz w:val="19"/>
                <w:szCs w:val="19"/>
              </w:rPr>
            </w:pPr>
            <w:r w:rsidRPr="009E7105">
              <w:rPr>
                <w:rFonts w:asciiTheme="minorHAnsi" w:eastAsia="Times New Roman" w:hAnsiTheme="minorHAnsi" w:cs="Times New Roman"/>
                <w:sz w:val="19"/>
                <w:szCs w:val="19"/>
              </w:rPr>
              <w:t>Complete College America, USA Funds (for Purpose First), multiple sources (for GPS)</w:t>
            </w:r>
          </w:p>
          <w:p w14:paraId="693F6CFE" w14:textId="77777777" w:rsidR="00CA7477" w:rsidRPr="009E7105" w:rsidRDefault="00CA7477" w:rsidP="00E84FA2">
            <w:pPr>
              <w:jc w:val="center"/>
              <w:rPr>
                <w:rFonts w:asciiTheme="minorHAnsi" w:hAnsiTheme="minorHAnsi" w:cs="Times New Roman"/>
                <w:sz w:val="19"/>
                <w:szCs w:val="19"/>
              </w:rPr>
            </w:pPr>
          </w:p>
        </w:tc>
      </w:tr>
      <w:tr w:rsidR="00CA7477" w14:paraId="353C8FC5" w14:textId="77777777" w:rsidTr="00210234">
        <w:tc>
          <w:tcPr>
            <w:tcW w:w="1710" w:type="dxa"/>
            <w:vMerge/>
            <w:shd w:val="clear" w:color="auto" w:fill="DBE5F1"/>
          </w:tcPr>
          <w:p w14:paraId="7889AC59" w14:textId="77777777" w:rsidR="00CA7477" w:rsidRPr="00A007DE" w:rsidRDefault="00CA7477" w:rsidP="00CA7477">
            <w:pPr>
              <w:rPr>
                <w:rFonts w:asciiTheme="minorHAnsi" w:eastAsia="Times New Roman" w:hAnsiTheme="minorHAnsi" w:cs="Times New Roman"/>
                <w:sz w:val="20"/>
                <w:szCs w:val="20"/>
              </w:rPr>
            </w:pPr>
          </w:p>
        </w:tc>
        <w:tc>
          <w:tcPr>
            <w:tcW w:w="540" w:type="dxa"/>
          </w:tcPr>
          <w:p w14:paraId="54A5BCF4" w14:textId="77777777" w:rsidR="00CA7477" w:rsidRPr="00C7486D" w:rsidRDefault="00CA7477" w:rsidP="005E223B">
            <w:pPr>
              <w:pStyle w:val="ListParagraph"/>
              <w:numPr>
                <w:ilvl w:val="0"/>
                <w:numId w:val="37"/>
              </w:numPr>
              <w:ind w:left="288"/>
              <w:jc w:val="center"/>
              <w:rPr>
                <w:rFonts w:asciiTheme="minorHAnsi" w:eastAsia="Times New Roman" w:hAnsiTheme="minorHAnsi" w:cs="Times New Roman"/>
                <w:sz w:val="19"/>
                <w:szCs w:val="19"/>
              </w:rPr>
            </w:pPr>
          </w:p>
        </w:tc>
        <w:tc>
          <w:tcPr>
            <w:tcW w:w="9810" w:type="dxa"/>
          </w:tcPr>
          <w:p w14:paraId="754EC8C2" w14:textId="2D6F357F" w:rsidR="00CA7477" w:rsidRPr="009E7105" w:rsidRDefault="00CA7477" w:rsidP="00B4150E">
            <w:pPr>
              <w:rPr>
                <w:rFonts w:asciiTheme="minorHAnsi" w:eastAsia="Times New Roman" w:hAnsiTheme="minorHAnsi" w:cs="Times New Roman"/>
                <w:b/>
                <w:color w:val="auto"/>
                <w:sz w:val="19"/>
                <w:szCs w:val="19"/>
              </w:rPr>
            </w:pPr>
            <w:r w:rsidRPr="00414250">
              <w:rPr>
                <w:rFonts w:asciiTheme="minorHAnsi" w:eastAsia="Times New Roman" w:hAnsiTheme="minorHAnsi" w:cs="Times New Roman"/>
                <w:b/>
                <w:color w:val="auto"/>
                <w:sz w:val="18"/>
                <w:szCs w:val="18"/>
              </w:rPr>
              <w:t>Siemens Technical Scholars</w:t>
            </w:r>
            <w:r w:rsidRPr="00414250">
              <w:rPr>
                <w:rFonts w:asciiTheme="minorHAnsi" w:eastAsia="Times New Roman" w:hAnsiTheme="minorHAnsi" w:cs="Times New Roman"/>
                <w:color w:val="auto"/>
                <w:sz w:val="18"/>
                <w:szCs w:val="18"/>
              </w:rPr>
              <w:t xml:space="preserve"> program highlights, profiles, and markets successful millennials in STEM programs at top performing community and technical colleges with the goal of promoting awareness and a positive perception of the middle-skill jobs available with such credentials to millennials.</w:t>
            </w:r>
          </w:p>
        </w:tc>
        <w:tc>
          <w:tcPr>
            <w:tcW w:w="2250" w:type="dxa"/>
          </w:tcPr>
          <w:p w14:paraId="6A78BECC" w14:textId="1E64108C" w:rsidR="00CA7477" w:rsidRPr="009E7105" w:rsidRDefault="00CA7477" w:rsidP="00CA7477">
            <w:pPr>
              <w:jc w:val="center"/>
              <w:rPr>
                <w:rFonts w:asciiTheme="minorHAnsi" w:eastAsia="Times New Roman" w:hAnsiTheme="minorHAnsi" w:cs="Times New Roman"/>
                <w:sz w:val="19"/>
                <w:szCs w:val="19"/>
              </w:rPr>
            </w:pPr>
            <w:r w:rsidRPr="00414250">
              <w:rPr>
                <w:rFonts w:asciiTheme="minorHAnsi" w:eastAsia="Times New Roman" w:hAnsiTheme="minorHAnsi" w:cs="Times New Roman"/>
                <w:sz w:val="18"/>
                <w:szCs w:val="18"/>
              </w:rPr>
              <w:t>Siemens Foundation, Aspen Institute</w:t>
            </w:r>
          </w:p>
        </w:tc>
      </w:tr>
      <w:tr w:rsidR="00CA7477" w14:paraId="42B2B549" w14:textId="77777777" w:rsidTr="00210234">
        <w:trPr>
          <w:trHeight w:val="530"/>
        </w:trPr>
        <w:tc>
          <w:tcPr>
            <w:tcW w:w="1710" w:type="dxa"/>
            <w:vMerge w:val="restart"/>
            <w:shd w:val="clear" w:color="auto" w:fill="DBE5F1"/>
          </w:tcPr>
          <w:p w14:paraId="6C14B64E" w14:textId="77777777" w:rsidR="00CA7477" w:rsidRPr="00A007DE" w:rsidRDefault="00CA7477">
            <w:pPr>
              <w:rPr>
                <w:rFonts w:asciiTheme="minorHAnsi" w:eastAsia="Times New Roman" w:hAnsiTheme="minorHAnsi" w:cs="Times New Roman"/>
                <w:sz w:val="20"/>
                <w:szCs w:val="20"/>
              </w:rPr>
            </w:pPr>
          </w:p>
          <w:p w14:paraId="576CD55C" w14:textId="77777777" w:rsidR="00CA7477" w:rsidRPr="00A007DE" w:rsidRDefault="00CA7477">
            <w:pPr>
              <w:rPr>
                <w:rFonts w:asciiTheme="minorHAnsi" w:eastAsia="Times New Roman" w:hAnsiTheme="minorHAnsi" w:cs="Times New Roman"/>
                <w:sz w:val="20"/>
                <w:szCs w:val="20"/>
              </w:rPr>
            </w:pPr>
          </w:p>
          <w:p w14:paraId="358C285F" w14:textId="77777777" w:rsidR="00CA7477" w:rsidRDefault="00CA7477">
            <w:pPr>
              <w:rPr>
                <w:rFonts w:asciiTheme="minorHAnsi" w:eastAsia="Times New Roman" w:hAnsiTheme="minorHAnsi" w:cs="Times New Roman"/>
                <w:sz w:val="20"/>
                <w:szCs w:val="20"/>
              </w:rPr>
            </w:pPr>
          </w:p>
          <w:p w14:paraId="5CF5A17F" w14:textId="77777777" w:rsidR="00CA7477" w:rsidRDefault="00CA7477">
            <w:pPr>
              <w:rPr>
                <w:rFonts w:asciiTheme="minorHAnsi" w:eastAsia="Times New Roman" w:hAnsiTheme="minorHAnsi" w:cs="Times New Roman"/>
                <w:sz w:val="20"/>
                <w:szCs w:val="20"/>
              </w:rPr>
            </w:pPr>
          </w:p>
          <w:p w14:paraId="56416EEF" w14:textId="77777777" w:rsidR="00CA7477" w:rsidRDefault="00CA7477">
            <w:pPr>
              <w:rPr>
                <w:rFonts w:asciiTheme="minorHAnsi" w:eastAsia="Times New Roman" w:hAnsiTheme="minorHAnsi" w:cs="Times New Roman"/>
                <w:sz w:val="20"/>
                <w:szCs w:val="20"/>
              </w:rPr>
            </w:pPr>
            <w:r w:rsidRPr="00A007DE">
              <w:rPr>
                <w:rFonts w:asciiTheme="minorHAnsi" w:eastAsia="Times New Roman" w:hAnsiTheme="minorHAnsi" w:cs="Times New Roman"/>
                <w:sz w:val="20"/>
                <w:szCs w:val="20"/>
              </w:rPr>
              <w:t xml:space="preserve">Credit for </w:t>
            </w:r>
          </w:p>
          <w:p w14:paraId="6C01458F" w14:textId="2749B2F3" w:rsidR="00CA7477" w:rsidRPr="00A007DE" w:rsidRDefault="00CA7477">
            <w:pPr>
              <w:rPr>
                <w:rFonts w:asciiTheme="minorHAnsi" w:hAnsiTheme="minorHAnsi"/>
                <w:sz w:val="20"/>
                <w:szCs w:val="20"/>
              </w:rPr>
            </w:pPr>
            <w:r w:rsidRPr="00A007DE">
              <w:rPr>
                <w:rFonts w:asciiTheme="minorHAnsi" w:eastAsia="Times New Roman" w:hAnsiTheme="minorHAnsi" w:cs="Times New Roman"/>
                <w:sz w:val="20"/>
                <w:szCs w:val="20"/>
              </w:rPr>
              <w:t>Prior Learning</w:t>
            </w:r>
          </w:p>
          <w:p w14:paraId="07D67EEE" w14:textId="77777777" w:rsidR="00CA7477" w:rsidRPr="00A007DE" w:rsidRDefault="00CA7477">
            <w:pPr>
              <w:rPr>
                <w:rFonts w:asciiTheme="minorHAnsi" w:eastAsia="Times New Roman" w:hAnsiTheme="minorHAnsi" w:cs="Times New Roman"/>
                <w:sz w:val="20"/>
                <w:szCs w:val="20"/>
              </w:rPr>
            </w:pPr>
          </w:p>
          <w:p w14:paraId="4AD02D3A" w14:textId="77777777" w:rsidR="00CA7477" w:rsidRPr="00A007DE" w:rsidRDefault="00CA7477">
            <w:pPr>
              <w:rPr>
                <w:rFonts w:asciiTheme="minorHAnsi" w:eastAsia="Times New Roman" w:hAnsiTheme="minorHAnsi" w:cs="Times New Roman"/>
                <w:sz w:val="20"/>
                <w:szCs w:val="20"/>
              </w:rPr>
            </w:pPr>
          </w:p>
          <w:p w14:paraId="2F63EFD3" w14:textId="77777777" w:rsidR="00CA7477" w:rsidRPr="00A007DE" w:rsidRDefault="00CA7477">
            <w:pPr>
              <w:rPr>
                <w:rFonts w:asciiTheme="minorHAnsi" w:eastAsia="Times New Roman" w:hAnsiTheme="minorHAnsi" w:cs="Times New Roman"/>
                <w:sz w:val="20"/>
                <w:szCs w:val="20"/>
              </w:rPr>
            </w:pPr>
          </w:p>
          <w:p w14:paraId="27F43EC1" w14:textId="77777777" w:rsidR="00CA7477" w:rsidRPr="00A007DE" w:rsidRDefault="00CA7477">
            <w:pPr>
              <w:rPr>
                <w:rFonts w:asciiTheme="minorHAnsi" w:eastAsia="Times New Roman" w:hAnsiTheme="minorHAnsi" w:cs="Times New Roman"/>
                <w:sz w:val="20"/>
                <w:szCs w:val="20"/>
              </w:rPr>
            </w:pPr>
          </w:p>
          <w:p w14:paraId="6018486E" w14:textId="77777777" w:rsidR="00CA7477" w:rsidRPr="00A007DE" w:rsidRDefault="00CA7477">
            <w:pPr>
              <w:rPr>
                <w:rFonts w:asciiTheme="minorHAnsi" w:eastAsia="Times New Roman" w:hAnsiTheme="minorHAnsi" w:cs="Times New Roman"/>
                <w:sz w:val="20"/>
                <w:szCs w:val="20"/>
              </w:rPr>
            </w:pPr>
          </w:p>
          <w:p w14:paraId="1E9F8765" w14:textId="77777777" w:rsidR="00CA7477" w:rsidRPr="00A007DE" w:rsidRDefault="00CA7477">
            <w:pPr>
              <w:rPr>
                <w:rFonts w:asciiTheme="minorHAnsi" w:eastAsia="Times New Roman" w:hAnsiTheme="minorHAnsi" w:cs="Times New Roman"/>
                <w:sz w:val="20"/>
                <w:szCs w:val="20"/>
              </w:rPr>
            </w:pPr>
          </w:p>
          <w:p w14:paraId="6919E297" w14:textId="77777777" w:rsidR="00CA7477" w:rsidRPr="00A007DE" w:rsidRDefault="00CA7477">
            <w:pPr>
              <w:rPr>
                <w:rFonts w:asciiTheme="minorHAnsi" w:eastAsia="Times New Roman" w:hAnsiTheme="minorHAnsi" w:cs="Times New Roman"/>
                <w:sz w:val="20"/>
                <w:szCs w:val="20"/>
              </w:rPr>
            </w:pPr>
          </w:p>
          <w:p w14:paraId="21169DD7" w14:textId="77777777" w:rsidR="00CA7477" w:rsidRPr="00A007DE" w:rsidRDefault="00CA7477">
            <w:pPr>
              <w:rPr>
                <w:rFonts w:asciiTheme="minorHAnsi" w:eastAsia="Times New Roman" w:hAnsiTheme="minorHAnsi" w:cs="Times New Roman"/>
                <w:sz w:val="20"/>
                <w:szCs w:val="20"/>
              </w:rPr>
            </w:pPr>
          </w:p>
          <w:p w14:paraId="7BB1F28E" w14:textId="77777777" w:rsidR="00CA7477" w:rsidRPr="00A007DE" w:rsidRDefault="00CA7477">
            <w:pPr>
              <w:rPr>
                <w:rFonts w:asciiTheme="minorHAnsi" w:eastAsia="Times New Roman" w:hAnsiTheme="minorHAnsi" w:cs="Times New Roman"/>
                <w:sz w:val="20"/>
                <w:szCs w:val="20"/>
              </w:rPr>
            </w:pPr>
          </w:p>
          <w:p w14:paraId="54E2BC80" w14:textId="77777777" w:rsidR="00CA7477" w:rsidRPr="00A007DE" w:rsidRDefault="00CA7477">
            <w:pPr>
              <w:rPr>
                <w:rFonts w:asciiTheme="minorHAnsi" w:eastAsia="Times New Roman" w:hAnsiTheme="minorHAnsi" w:cs="Times New Roman"/>
                <w:sz w:val="20"/>
                <w:szCs w:val="20"/>
              </w:rPr>
            </w:pPr>
          </w:p>
          <w:p w14:paraId="1966681F" w14:textId="77777777" w:rsidR="00CA7477" w:rsidRPr="00A007DE" w:rsidRDefault="00CA7477">
            <w:pPr>
              <w:rPr>
                <w:rFonts w:asciiTheme="minorHAnsi" w:eastAsia="Times New Roman" w:hAnsiTheme="minorHAnsi" w:cs="Times New Roman"/>
                <w:sz w:val="20"/>
                <w:szCs w:val="20"/>
              </w:rPr>
            </w:pPr>
          </w:p>
          <w:p w14:paraId="08B53D24" w14:textId="77777777" w:rsidR="00CA7477" w:rsidRPr="00A007DE" w:rsidRDefault="00CA7477">
            <w:pPr>
              <w:rPr>
                <w:rFonts w:asciiTheme="minorHAnsi" w:eastAsia="Times New Roman" w:hAnsiTheme="minorHAnsi" w:cs="Times New Roman"/>
                <w:sz w:val="20"/>
                <w:szCs w:val="20"/>
              </w:rPr>
            </w:pPr>
          </w:p>
          <w:p w14:paraId="1149D108" w14:textId="77777777" w:rsidR="00CA7477" w:rsidRPr="00A007DE" w:rsidRDefault="00CA7477">
            <w:pPr>
              <w:rPr>
                <w:rFonts w:asciiTheme="minorHAnsi" w:hAnsiTheme="minorHAnsi"/>
                <w:sz w:val="20"/>
                <w:szCs w:val="20"/>
              </w:rPr>
            </w:pPr>
          </w:p>
          <w:p w14:paraId="57E4E7C3" w14:textId="77777777" w:rsidR="00CA7477" w:rsidRPr="00A007DE" w:rsidRDefault="00CA7477">
            <w:pPr>
              <w:rPr>
                <w:rFonts w:asciiTheme="minorHAnsi" w:hAnsiTheme="minorHAnsi"/>
                <w:sz w:val="20"/>
                <w:szCs w:val="20"/>
              </w:rPr>
            </w:pPr>
          </w:p>
          <w:p w14:paraId="039C051A" w14:textId="77777777" w:rsidR="00CA7477" w:rsidRPr="00A007DE" w:rsidRDefault="00CA7477" w:rsidP="00D74B46">
            <w:pPr>
              <w:rPr>
                <w:rFonts w:asciiTheme="minorHAnsi" w:hAnsiTheme="minorHAnsi"/>
                <w:sz w:val="20"/>
                <w:szCs w:val="20"/>
              </w:rPr>
            </w:pPr>
          </w:p>
        </w:tc>
        <w:tc>
          <w:tcPr>
            <w:tcW w:w="540" w:type="dxa"/>
          </w:tcPr>
          <w:p w14:paraId="137C6115" w14:textId="2B3EE739" w:rsidR="00CA7477" w:rsidRPr="001D0006" w:rsidRDefault="00CA7477" w:rsidP="005E223B">
            <w:pPr>
              <w:pStyle w:val="ListParagraph"/>
              <w:numPr>
                <w:ilvl w:val="0"/>
                <w:numId w:val="37"/>
              </w:numPr>
              <w:ind w:left="288"/>
              <w:jc w:val="center"/>
              <w:rPr>
                <w:rFonts w:asciiTheme="minorHAnsi" w:hAnsiTheme="minorHAnsi" w:cs="Times New Roman"/>
                <w:sz w:val="19"/>
                <w:szCs w:val="19"/>
              </w:rPr>
            </w:pPr>
          </w:p>
        </w:tc>
        <w:tc>
          <w:tcPr>
            <w:tcW w:w="9810" w:type="dxa"/>
          </w:tcPr>
          <w:p w14:paraId="25A523AB" w14:textId="174D6357" w:rsidR="00CA7477" w:rsidRPr="001D0006" w:rsidRDefault="00CA7477" w:rsidP="001D7188">
            <w:pPr>
              <w:rPr>
                <w:rFonts w:asciiTheme="minorHAnsi" w:hAnsiTheme="minorHAnsi"/>
                <w:color w:val="auto"/>
                <w:sz w:val="19"/>
                <w:szCs w:val="19"/>
              </w:rPr>
            </w:pPr>
            <w:r w:rsidRPr="001D0006">
              <w:rPr>
                <w:rFonts w:asciiTheme="minorHAnsi" w:hAnsiTheme="minorHAnsi"/>
                <w:b/>
                <w:color w:val="auto"/>
                <w:sz w:val="19"/>
                <w:szCs w:val="19"/>
              </w:rPr>
              <w:t>Multi-State Collaborative on Military Credit</w:t>
            </w:r>
            <w:r w:rsidRPr="001D0006">
              <w:rPr>
                <w:rFonts w:asciiTheme="minorHAnsi" w:hAnsiTheme="minorHAnsi"/>
                <w:color w:val="auto"/>
                <w:sz w:val="19"/>
                <w:szCs w:val="19"/>
              </w:rPr>
              <w:t xml:space="preserve"> (MCMC), a 13-state initiative to identify policies and practices to help military service members, veterans, and their families to overcome barriers to access, participation, and completion of a postsecondary credential and entrance into the workforce.</w:t>
            </w:r>
          </w:p>
        </w:tc>
        <w:tc>
          <w:tcPr>
            <w:tcW w:w="2250" w:type="dxa"/>
          </w:tcPr>
          <w:p w14:paraId="4B562412" w14:textId="0EE8BA14" w:rsidR="00CA7477" w:rsidRPr="001D0006" w:rsidRDefault="00CA7477" w:rsidP="00CC165F">
            <w:pPr>
              <w:jc w:val="center"/>
              <w:rPr>
                <w:rFonts w:asciiTheme="minorHAnsi" w:hAnsiTheme="minorHAnsi"/>
                <w:sz w:val="19"/>
                <w:szCs w:val="19"/>
              </w:rPr>
            </w:pPr>
            <w:r w:rsidRPr="001D0006">
              <w:rPr>
                <w:rFonts w:asciiTheme="minorHAnsi" w:eastAsia="Times New Roman" w:hAnsiTheme="minorHAnsi" w:cs="Times New Roman"/>
                <w:sz w:val="19"/>
                <w:szCs w:val="19"/>
              </w:rPr>
              <w:t>Midwestern Higher Education Compact– Lumina Found</w:t>
            </w:r>
            <w:r>
              <w:rPr>
                <w:rFonts w:asciiTheme="minorHAnsi" w:eastAsia="Times New Roman" w:hAnsiTheme="minorHAnsi" w:cs="Times New Roman"/>
                <w:sz w:val="19"/>
                <w:szCs w:val="19"/>
              </w:rPr>
              <w:t>a</w:t>
            </w:r>
            <w:r w:rsidRPr="001D0006">
              <w:rPr>
                <w:rFonts w:asciiTheme="minorHAnsi" w:eastAsia="Times New Roman" w:hAnsiTheme="minorHAnsi" w:cs="Times New Roman"/>
                <w:sz w:val="19"/>
                <w:szCs w:val="19"/>
              </w:rPr>
              <w:t>tion</w:t>
            </w:r>
          </w:p>
        </w:tc>
      </w:tr>
      <w:tr w:rsidR="00CA7477" w14:paraId="1395ECD1" w14:textId="77777777" w:rsidTr="00210234">
        <w:tc>
          <w:tcPr>
            <w:tcW w:w="1710" w:type="dxa"/>
            <w:vMerge/>
            <w:shd w:val="clear" w:color="auto" w:fill="DBE5F1"/>
          </w:tcPr>
          <w:p w14:paraId="5CE176D4" w14:textId="77777777" w:rsidR="00CA7477" w:rsidRPr="00A007DE" w:rsidRDefault="00CA7477" w:rsidP="00D74B46">
            <w:pPr>
              <w:rPr>
                <w:sz w:val="20"/>
                <w:szCs w:val="20"/>
              </w:rPr>
            </w:pPr>
          </w:p>
        </w:tc>
        <w:tc>
          <w:tcPr>
            <w:tcW w:w="540" w:type="dxa"/>
          </w:tcPr>
          <w:p w14:paraId="50987D87" w14:textId="27392CDB" w:rsidR="00CA7477" w:rsidRPr="001D0006" w:rsidRDefault="00CA7477" w:rsidP="005E223B">
            <w:pPr>
              <w:pStyle w:val="ListParagraph"/>
              <w:numPr>
                <w:ilvl w:val="0"/>
                <w:numId w:val="37"/>
              </w:numPr>
              <w:ind w:left="288"/>
              <w:jc w:val="center"/>
              <w:rPr>
                <w:rFonts w:asciiTheme="minorHAnsi" w:eastAsia="Times New Roman" w:hAnsiTheme="minorHAnsi" w:cs="Times New Roman"/>
                <w:b/>
                <w:sz w:val="19"/>
                <w:szCs w:val="19"/>
              </w:rPr>
            </w:pPr>
          </w:p>
        </w:tc>
        <w:tc>
          <w:tcPr>
            <w:tcW w:w="9810" w:type="dxa"/>
          </w:tcPr>
          <w:p w14:paraId="009AFCD8" w14:textId="113750F5" w:rsidR="00CA7477" w:rsidRPr="001D0006" w:rsidRDefault="00CA7477" w:rsidP="00D8769F">
            <w:pPr>
              <w:rPr>
                <w:rFonts w:asciiTheme="minorHAnsi" w:hAnsiTheme="minorHAnsi"/>
                <w:color w:val="auto"/>
                <w:sz w:val="19"/>
                <w:szCs w:val="19"/>
              </w:rPr>
            </w:pPr>
            <w:r w:rsidRPr="001D0006">
              <w:rPr>
                <w:rFonts w:asciiTheme="minorHAnsi" w:eastAsia="Times New Roman" w:hAnsiTheme="minorHAnsi" w:cs="Times New Roman"/>
                <w:b/>
                <w:color w:val="auto"/>
                <w:sz w:val="19"/>
                <w:szCs w:val="19"/>
              </w:rPr>
              <w:t>Global Learning Qualifications Framework</w:t>
            </w:r>
            <w:r w:rsidRPr="001D0006">
              <w:rPr>
                <w:rFonts w:asciiTheme="minorHAnsi" w:hAnsiTheme="minorHAnsi"/>
                <w:color w:val="auto"/>
                <w:sz w:val="19"/>
                <w:szCs w:val="19"/>
              </w:rPr>
              <w:t xml:space="preserve"> </w:t>
            </w:r>
            <w:r w:rsidRPr="001D0006">
              <w:rPr>
                <w:rFonts w:asciiTheme="minorHAnsi" w:eastAsia="Times New Roman" w:hAnsiTheme="minorHAnsi" w:cs="Times New Roman"/>
                <w:color w:val="auto"/>
                <w:sz w:val="19"/>
                <w:szCs w:val="19"/>
              </w:rPr>
              <w:t xml:space="preserve">-- assists students to document their verifiable college/university-level learning for academic credit and to provide an academic framework to evaluate student learning. </w:t>
            </w:r>
            <w:hyperlink r:id="rId64">
              <w:r w:rsidRPr="001D0006">
                <w:rPr>
                  <w:rFonts w:asciiTheme="minorHAnsi" w:eastAsia="Times New Roman" w:hAnsiTheme="minorHAnsi" w:cs="Times New Roman"/>
                  <w:color w:val="auto"/>
                  <w:sz w:val="19"/>
                  <w:szCs w:val="19"/>
                  <w:u w:val="single"/>
                </w:rPr>
                <w:t>http://www.esc.edu/suny-real/global-learning-qualifications-framework/</w:t>
              </w:r>
            </w:hyperlink>
            <w:r w:rsidRPr="001D0006">
              <w:rPr>
                <w:rFonts w:asciiTheme="minorHAnsi" w:eastAsia="Times New Roman" w:hAnsiTheme="minorHAnsi" w:cs="Times New Roman"/>
                <w:color w:val="auto"/>
                <w:sz w:val="19"/>
                <w:szCs w:val="19"/>
              </w:rPr>
              <w:t xml:space="preserve"> </w:t>
            </w:r>
          </w:p>
        </w:tc>
        <w:tc>
          <w:tcPr>
            <w:tcW w:w="2250" w:type="dxa"/>
          </w:tcPr>
          <w:p w14:paraId="54E295B4" w14:textId="1229899E" w:rsidR="00CA7477" w:rsidRPr="001D0006" w:rsidRDefault="00CA7477" w:rsidP="009C6369">
            <w:pPr>
              <w:jc w:val="center"/>
              <w:rPr>
                <w:rFonts w:asciiTheme="minorHAnsi" w:hAnsiTheme="minorHAnsi"/>
                <w:sz w:val="19"/>
                <w:szCs w:val="19"/>
              </w:rPr>
            </w:pPr>
            <w:r w:rsidRPr="001D0006">
              <w:rPr>
                <w:rFonts w:asciiTheme="minorHAnsi" w:eastAsia="Times New Roman" w:hAnsiTheme="minorHAnsi" w:cs="Times New Roman"/>
                <w:sz w:val="19"/>
                <w:szCs w:val="19"/>
              </w:rPr>
              <w:t>SUNY Empire State College – Lumina</w:t>
            </w:r>
            <w:r>
              <w:rPr>
                <w:rFonts w:asciiTheme="minorHAnsi" w:eastAsia="Times New Roman" w:hAnsiTheme="minorHAnsi" w:cs="Times New Roman"/>
                <w:sz w:val="19"/>
                <w:szCs w:val="19"/>
              </w:rPr>
              <w:t xml:space="preserve"> Foundation</w:t>
            </w:r>
          </w:p>
        </w:tc>
      </w:tr>
      <w:tr w:rsidR="00CA7477" w14:paraId="01F2CF9C" w14:textId="77777777" w:rsidTr="00210234">
        <w:tc>
          <w:tcPr>
            <w:tcW w:w="1710" w:type="dxa"/>
            <w:vMerge/>
            <w:shd w:val="clear" w:color="auto" w:fill="DBE5F1"/>
          </w:tcPr>
          <w:p w14:paraId="79AAC55F" w14:textId="77777777" w:rsidR="00CA7477" w:rsidRPr="00A007DE" w:rsidRDefault="00CA7477" w:rsidP="00D74B46">
            <w:pPr>
              <w:rPr>
                <w:sz w:val="20"/>
                <w:szCs w:val="20"/>
              </w:rPr>
            </w:pPr>
          </w:p>
        </w:tc>
        <w:tc>
          <w:tcPr>
            <w:tcW w:w="540" w:type="dxa"/>
          </w:tcPr>
          <w:p w14:paraId="2762B73D" w14:textId="577A9B68" w:rsidR="00CA7477" w:rsidRPr="001D0006" w:rsidRDefault="00CA7477" w:rsidP="005E223B">
            <w:pPr>
              <w:pStyle w:val="ListParagraph"/>
              <w:numPr>
                <w:ilvl w:val="0"/>
                <w:numId w:val="37"/>
              </w:numPr>
              <w:ind w:left="288"/>
              <w:jc w:val="center"/>
              <w:rPr>
                <w:rFonts w:asciiTheme="minorHAnsi" w:eastAsia="Times New Roman" w:hAnsiTheme="minorHAnsi" w:cs="Times New Roman"/>
                <w:b/>
                <w:sz w:val="19"/>
                <w:szCs w:val="19"/>
              </w:rPr>
            </w:pPr>
          </w:p>
        </w:tc>
        <w:tc>
          <w:tcPr>
            <w:tcW w:w="9810" w:type="dxa"/>
          </w:tcPr>
          <w:p w14:paraId="5E91383B" w14:textId="77777777" w:rsidR="00CA7477" w:rsidRPr="001D0006" w:rsidRDefault="00CA7477" w:rsidP="00CA7477">
            <w:pPr>
              <w:rPr>
                <w:rFonts w:asciiTheme="minorHAnsi" w:hAnsiTheme="minorHAnsi"/>
                <w:color w:val="auto"/>
                <w:sz w:val="19"/>
                <w:szCs w:val="19"/>
              </w:rPr>
            </w:pPr>
            <w:r w:rsidRPr="001D0006">
              <w:rPr>
                <w:rFonts w:asciiTheme="minorHAnsi" w:eastAsia="Times New Roman" w:hAnsiTheme="minorHAnsi" w:cs="Times New Roman"/>
                <w:color w:val="auto"/>
                <w:sz w:val="19"/>
                <w:szCs w:val="19"/>
              </w:rPr>
              <w:t xml:space="preserve">Offers on-line credential service for </w:t>
            </w:r>
            <w:r w:rsidRPr="00B4150E">
              <w:rPr>
                <w:rFonts w:asciiTheme="minorHAnsi" w:eastAsia="Times New Roman" w:hAnsiTheme="minorHAnsi" w:cs="Times New Roman"/>
                <w:b/>
                <w:color w:val="auto"/>
                <w:sz w:val="19"/>
                <w:szCs w:val="19"/>
              </w:rPr>
              <w:t>prior learning assessment (PLA), advising services</w:t>
            </w:r>
            <w:r w:rsidRPr="001D0006">
              <w:rPr>
                <w:rFonts w:asciiTheme="minorHAnsi" w:eastAsia="Times New Roman" w:hAnsiTheme="minorHAnsi" w:cs="Times New Roman"/>
                <w:color w:val="auto"/>
                <w:sz w:val="19"/>
                <w:szCs w:val="19"/>
              </w:rPr>
              <w:t xml:space="preserve"> and promotes competency-based college and local programs.</w:t>
            </w:r>
          </w:p>
          <w:p w14:paraId="084FF53C" w14:textId="237619B4" w:rsidR="00CA7477" w:rsidRPr="001D0006" w:rsidRDefault="00CA7477">
            <w:pPr>
              <w:rPr>
                <w:rFonts w:asciiTheme="minorHAnsi" w:hAnsiTheme="minorHAnsi"/>
                <w:color w:val="auto"/>
                <w:sz w:val="19"/>
                <w:szCs w:val="19"/>
              </w:rPr>
            </w:pPr>
          </w:p>
        </w:tc>
        <w:tc>
          <w:tcPr>
            <w:tcW w:w="2250" w:type="dxa"/>
          </w:tcPr>
          <w:p w14:paraId="7E7FA53B" w14:textId="0427145E" w:rsidR="00CA7477" w:rsidRPr="001D0006" w:rsidRDefault="00CA7477" w:rsidP="00CC165F">
            <w:pPr>
              <w:jc w:val="center"/>
              <w:rPr>
                <w:rFonts w:asciiTheme="minorHAnsi" w:hAnsiTheme="minorHAnsi"/>
                <w:sz w:val="19"/>
                <w:szCs w:val="19"/>
              </w:rPr>
            </w:pPr>
            <w:r w:rsidRPr="001D0006">
              <w:rPr>
                <w:rFonts w:asciiTheme="minorHAnsi" w:hAnsiTheme="minorHAnsi"/>
                <w:sz w:val="19"/>
                <w:szCs w:val="19"/>
              </w:rPr>
              <w:t xml:space="preserve">Council for Adult and Experiential Learning </w:t>
            </w:r>
          </w:p>
        </w:tc>
      </w:tr>
      <w:tr w:rsidR="00CA7477" w14:paraId="78E7417C" w14:textId="77777777" w:rsidTr="00210234">
        <w:tc>
          <w:tcPr>
            <w:tcW w:w="1710" w:type="dxa"/>
            <w:vMerge/>
            <w:shd w:val="clear" w:color="auto" w:fill="DBE5F1"/>
          </w:tcPr>
          <w:p w14:paraId="55C4BC84" w14:textId="77777777" w:rsidR="00CA7477" w:rsidRPr="00A007DE" w:rsidRDefault="00CA7477" w:rsidP="00D74B46">
            <w:pPr>
              <w:rPr>
                <w:sz w:val="20"/>
                <w:szCs w:val="20"/>
              </w:rPr>
            </w:pPr>
          </w:p>
        </w:tc>
        <w:tc>
          <w:tcPr>
            <w:tcW w:w="540" w:type="dxa"/>
          </w:tcPr>
          <w:p w14:paraId="7780F116" w14:textId="77777777" w:rsidR="00CA7477" w:rsidRPr="001D0006" w:rsidRDefault="00CA7477" w:rsidP="005E223B">
            <w:pPr>
              <w:pStyle w:val="ListParagraph"/>
              <w:numPr>
                <w:ilvl w:val="0"/>
                <w:numId w:val="37"/>
              </w:numPr>
              <w:ind w:left="288"/>
              <w:jc w:val="center"/>
              <w:rPr>
                <w:rFonts w:asciiTheme="minorHAnsi" w:eastAsia="Times New Roman" w:hAnsiTheme="minorHAnsi" w:cs="Times New Roman"/>
                <w:b/>
                <w:sz w:val="19"/>
                <w:szCs w:val="19"/>
              </w:rPr>
            </w:pPr>
          </w:p>
        </w:tc>
        <w:tc>
          <w:tcPr>
            <w:tcW w:w="9810" w:type="dxa"/>
          </w:tcPr>
          <w:p w14:paraId="28ADD0BB" w14:textId="6A4500F6" w:rsidR="00CA7477" w:rsidRPr="001D0006" w:rsidRDefault="00CA7477">
            <w:pPr>
              <w:rPr>
                <w:rFonts w:asciiTheme="minorHAnsi" w:eastAsia="Times New Roman" w:hAnsiTheme="minorHAnsi" w:cs="Times New Roman"/>
                <w:color w:val="auto"/>
                <w:sz w:val="19"/>
                <w:szCs w:val="19"/>
              </w:rPr>
            </w:pPr>
            <w:r w:rsidRPr="001D0006">
              <w:rPr>
                <w:rFonts w:asciiTheme="minorHAnsi" w:eastAsia="Times New Roman" w:hAnsiTheme="minorHAnsi" w:cs="Times New Roman"/>
                <w:b/>
                <w:color w:val="auto"/>
                <w:sz w:val="19"/>
                <w:szCs w:val="19"/>
              </w:rPr>
              <w:t xml:space="preserve">Learning Counts </w:t>
            </w:r>
            <w:r w:rsidRPr="001D0006">
              <w:rPr>
                <w:rFonts w:asciiTheme="minorHAnsi" w:eastAsia="Times New Roman" w:hAnsiTheme="minorHAnsi" w:cs="Times New Roman"/>
                <w:color w:val="auto"/>
                <w:sz w:val="19"/>
                <w:szCs w:val="19"/>
              </w:rPr>
              <w:t xml:space="preserve">is a comprehensive one stop prior learning assessment (PLA) resource for adult learners, offering PLA guidance, prior learning portfolio development courses, and portfolio assessment services. It focuses on translating the experience and knowledge adult learners acquire outside the classroom into college credit.  </w:t>
            </w:r>
            <w:hyperlink r:id="rId65">
              <w:r w:rsidRPr="001D0006">
                <w:rPr>
                  <w:rFonts w:asciiTheme="minorHAnsi" w:eastAsia="Times New Roman" w:hAnsiTheme="minorHAnsi" w:cs="Times New Roman"/>
                  <w:color w:val="auto"/>
                  <w:sz w:val="19"/>
                  <w:szCs w:val="19"/>
                  <w:u w:val="single"/>
                </w:rPr>
                <w:t>http://www.learningcounts.org/</w:t>
              </w:r>
            </w:hyperlink>
            <w:r>
              <w:rPr>
                <w:rFonts w:asciiTheme="minorHAnsi" w:eastAsia="Times New Roman" w:hAnsiTheme="minorHAnsi" w:cs="Times New Roman"/>
                <w:color w:val="auto"/>
                <w:sz w:val="19"/>
                <w:szCs w:val="19"/>
                <w:u w:val="single"/>
              </w:rPr>
              <w:t xml:space="preserve"> </w:t>
            </w:r>
          </w:p>
        </w:tc>
        <w:tc>
          <w:tcPr>
            <w:tcW w:w="2250" w:type="dxa"/>
          </w:tcPr>
          <w:p w14:paraId="2F2D5373" w14:textId="7442BAA6" w:rsidR="00CA7477" w:rsidRPr="001D0006" w:rsidRDefault="00CA7477" w:rsidP="00CC165F">
            <w:pPr>
              <w:jc w:val="center"/>
              <w:rPr>
                <w:rFonts w:asciiTheme="minorHAnsi" w:hAnsiTheme="minorHAnsi"/>
                <w:sz w:val="19"/>
                <w:szCs w:val="19"/>
              </w:rPr>
            </w:pPr>
            <w:r w:rsidRPr="001D0006">
              <w:rPr>
                <w:rFonts w:asciiTheme="minorHAnsi" w:eastAsia="Times New Roman" w:hAnsiTheme="minorHAnsi" w:cs="Times New Roman"/>
                <w:sz w:val="19"/>
                <w:szCs w:val="19"/>
              </w:rPr>
              <w:t xml:space="preserve">Council for Adult </w:t>
            </w:r>
            <w:r>
              <w:rPr>
                <w:rFonts w:asciiTheme="minorHAnsi" w:eastAsia="Times New Roman" w:hAnsiTheme="minorHAnsi" w:cs="Times New Roman"/>
                <w:sz w:val="19"/>
                <w:szCs w:val="19"/>
              </w:rPr>
              <w:t>&amp;</w:t>
            </w:r>
            <w:r w:rsidRPr="001D0006">
              <w:rPr>
                <w:rFonts w:asciiTheme="minorHAnsi" w:eastAsia="Times New Roman" w:hAnsiTheme="minorHAnsi" w:cs="Times New Roman"/>
                <w:sz w:val="19"/>
                <w:szCs w:val="19"/>
              </w:rPr>
              <w:t xml:space="preserve"> Experiential Learning </w:t>
            </w:r>
            <w:r>
              <w:rPr>
                <w:rFonts w:asciiTheme="minorHAnsi" w:eastAsia="Times New Roman" w:hAnsiTheme="minorHAnsi" w:cs="Times New Roman"/>
                <w:sz w:val="19"/>
                <w:szCs w:val="19"/>
              </w:rPr>
              <w:t>–</w:t>
            </w:r>
            <w:r w:rsidRPr="001D0006">
              <w:rPr>
                <w:rFonts w:asciiTheme="minorHAnsi" w:eastAsia="Times New Roman" w:hAnsiTheme="minorHAnsi" w:cs="Times New Roman"/>
                <w:sz w:val="19"/>
                <w:szCs w:val="19"/>
              </w:rPr>
              <w:t>Lumina</w:t>
            </w:r>
            <w:r>
              <w:rPr>
                <w:rFonts w:asciiTheme="minorHAnsi" w:eastAsia="Times New Roman" w:hAnsiTheme="minorHAnsi" w:cs="Times New Roman"/>
                <w:sz w:val="19"/>
                <w:szCs w:val="19"/>
              </w:rPr>
              <w:t xml:space="preserve"> &amp;</w:t>
            </w:r>
            <w:r w:rsidRPr="001D0006">
              <w:rPr>
                <w:rFonts w:asciiTheme="minorHAnsi" w:eastAsia="Times New Roman" w:hAnsiTheme="minorHAnsi" w:cs="Times New Roman"/>
                <w:sz w:val="19"/>
                <w:szCs w:val="19"/>
              </w:rPr>
              <w:t xml:space="preserve"> Kresge</w:t>
            </w:r>
            <w:r>
              <w:rPr>
                <w:rFonts w:asciiTheme="minorHAnsi" w:eastAsia="Times New Roman" w:hAnsiTheme="minorHAnsi" w:cs="Times New Roman"/>
                <w:sz w:val="19"/>
                <w:szCs w:val="19"/>
              </w:rPr>
              <w:t xml:space="preserve"> Foundations</w:t>
            </w:r>
          </w:p>
        </w:tc>
      </w:tr>
      <w:tr w:rsidR="00CA7477" w14:paraId="1F717AF3" w14:textId="77777777" w:rsidTr="00210234">
        <w:tc>
          <w:tcPr>
            <w:tcW w:w="1710" w:type="dxa"/>
            <w:vMerge/>
            <w:shd w:val="clear" w:color="auto" w:fill="DBE5F1"/>
          </w:tcPr>
          <w:p w14:paraId="3B476631" w14:textId="77777777" w:rsidR="00CA7477" w:rsidRPr="00A007DE" w:rsidRDefault="00CA7477" w:rsidP="00D74B46">
            <w:pPr>
              <w:rPr>
                <w:sz w:val="20"/>
                <w:szCs w:val="20"/>
              </w:rPr>
            </w:pPr>
          </w:p>
        </w:tc>
        <w:tc>
          <w:tcPr>
            <w:tcW w:w="540" w:type="dxa"/>
          </w:tcPr>
          <w:p w14:paraId="3D28286A" w14:textId="77777777" w:rsidR="00CA7477" w:rsidRPr="001D0006" w:rsidRDefault="00CA7477" w:rsidP="005E223B">
            <w:pPr>
              <w:pStyle w:val="ListParagraph"/>
              <w:numPr>
                <w:ilvl w:val="0"/>
                <w:numId w:val="37"/>
              </w:numPr>
              <w:ind w:left="288"/>
              <w:jc w:val="center"/>
              <w:rPr>
                <w:rFonts w:asciiTheme="minorHAnsi" w:eastAsia="Times New Roman" w:hAnsiTheme="minorHAnsi" w:cs="Times New Roman"/>
                <w:b/>
                <w:sz w:val="19"/>
                <w:szCs w:val="19"/>
              </w:rPr>
            </w:pPr>
          </w:p>
        </w:tc>
        <w:tc>
          <w:tcPr>
            <w:tcW w:w="9810" w:type="dxa"/>
          </w:tcPr>
          <w:p w14:paraId="48A33057" w14:textId="4C45B2D3" w:rsidR="00CA7477" w:rsidRPr="001D0006" w:rsidRDefault="00CA7477" w:rsidP="00F82D32">
            <w:pPr>
              <w:rPr>
                <w:rFonts w:asciiTheme="minorHAnsi" w:eastAsia="Times New Roman" w:hAnsiTheme="minorHAnsi" w:cs="Times New Roman"/>
                <w:color w:val="auto"/>
                <w:sz w:val="19"/>
                <w:szCs w:val="19"/>
              </w:rPr>
            </w:pPr>
            <w:r w:rsidRPr="001D0006">
              <w:rPr>
                <w:rFonts w:asciiTheme="minorHAnsi" w:eastAsia="Times New Roman" w:hAnsiTheme="minorHAnsi" w:cs="Times New Roman"/>
                <w:b/>
                <w:color w:val="auto"/>
                <w:sz w:val="19"/>
                <w:szCs w:val="19"/>
              </w:rPr>
              <w:t>Alternative Credit Project™</w:t>
            </w:r>
            <w:r w:rsidRPr="001D0006">
              <w:rPr>
                <w:rFonts w:asciiTheme="minorHAnsi" w:eastAsia="Times New Roman" w:hAnsiTheme="minorHAnsi" w:cs="Times New Roman"/>
                <w:color w:val="auto"/>
                <w:sz w:val="19"/>
                <w:szCs w:val="19"/>
              </w:rPr>
              <w:t xml:space="preserve"> encourages greater acceptance of students’ alternative credit and create a more flexible pathway towards post-secondary education attainment. </w:t>
            </w:r>
            <w:r>
              <w:rPr>
                <w:rFonts w:asciiTheme="minorHAnsi" w:eastAsia="Times New Roman" w:hAnsiTheme="minorHAnsi" w:cs="Times New Roman"/>
                <w:color w:val="auto"/>
                <w:sz w:val="19"/>
                <w:szCs w:val="19"/>
              </w:rPr>
              <w:t>As of</w:t>
            </w:r>
            <w:r w:rsidRPr="001D0006">
              <w:rPr>
                <w:rFonts w:asciiTheme="minorHAnsi" w:eastAsia="Times New Roman" w:hAnsiTheme="minorHAnsi" w:cs="Times New Roman"/>
                <w:color w:val="auto"/>
                <w:sz w:val="19"/>
                <w:szCs w:val="19"/>
              </w:rPr>
              <w:t xml:space="preserve"> </w:t>
            </w:r>
            <w:r>
              <w:rPr>
                <w:rFonts w:asciiTheme="minorHAnsi" w:eastAsia="Times New Roman" w:hAnsiTheme="minorHAnsi" w:cs="Times New Roman"/>
                <w:color w:val="auto"/>
                <w:sz w:val="19"/>
                <w:szCs w:val="19"/>
              </w:rPr>
              <w:t xml:space="preserve">August, </w:t>
            </w:r>
            <w:r w:rsidRPr="001D0006">
              <w:rPr>
                <w:rFonts w:asciiTheme="minorHAnsi" w:eastAsia="Times New Roman" w:hAnsiTheme="minorHAnsi" w:cs="Times New Roman"/>
                <w:color w:val="auto"/>
                <w:sz w:val="19"/>
                <w:szCs w:val="19"/>
              </w:rPr>
              <w:t xml:space="preserve">2015, 37 colleges/universities and three systems agreed, up-front, to accept ACE CREDIT recommended courses from non-accredited providers in this project for transfer credit. Institutions agree to provide anonymized data to ACE regarding amount of credit their institution accepts through the Alternative Credit Project (ACPE), as well as persistence and success rates of students transferring in courses from this project. ACE will track  number of ACPE courses a student requests through an ACE transcript, receive data from receiving institution about credit acceptance, and student retention, persistence, and success at the institution. </w:t>
            </w:r>
            <w:hyperlink r:id="rId66" w:history="1">
              <w:r w:rsidRPr="004908B4">
                <w:rPr>
                  <w:rStyle w:val="Hyperlink"/>
                  <w:rFonts w:asciiTheme="minorHAnsi" w:eastAsia="Times New Roman" w:hAnsiTheme="minorHAnsi" w:cs="Times New Roman"/>
                  <w:sz w:val="19"/>
                  <w:szCs w:val="19"/>
                </w:rPr>
                <w:t>www.acenet.edu/AlternativeCreditProject</w:t>
              </w:r>
            </w:hyperlink>
            <w:r>
              <w:rPr>
                <w:rFonts w:asciiTheme="minorHAnsi" w:eastAsia="Times New Roman" w:hAnsiTheme="minorHAnsi" w:cs="Times New Roman"/>
                <w:color w:val="auto"/>
                <w:sz w:val="19"/>
                <w:szCs w:val="19"/>
              </w:rPr>
              <w:t xml:space="preserve"> </w:t>
            </w:r>
            <w:r w:rsidRPr="001D0006">
              <w:rPr>
                <w:rFonts w:asciiTheme="minorHAnsi" w:eastAsia="Times New Roman" w:hAnsiTheme="minorHAnsi" w:cs="Times New Roman"/>
                <w:color w:val="auto"/>
                <w:sz w:val="19"/>
                <w:szCs w:val="19"/>
              </w:rPr>
              <w:t xml:space="preserve">  </w:t>
            </w:r>
          </w:p>
        </w:tc>
        <w:tc>
          <w:tcPr>
            <w:tcW w:w="2250" w:type="dxa"/>
          </w:tcPr>
          <w:p w14:paraId="37825E89" w14:textId="34DD3F24" w:rsidR="00CA7477" w:rsidRPr="001D0006" w:rsidRDefault="00CA7477" w:rsidP="009C6369">
            <w:pPr>
              <w:jc w:val="center"/>
              <w:rPr>
                <w:rFonts w:asciiTheme="minorHAnsi" w:hAnsiTheme="minorHAnsi"/>
                <w:sz w:val="19"/>
                <w:szCs w:val="19"/>
              </w:rPr>
            </w:pPr>
            <w:r w:rsidRPr="001D0006">
              <w:rPr>
                <w:rFonts w:asciiTheme="minorHAnsi" w:eastAsia="Times New Roman" w:hAnsiTheme="minorHAnsi" w:cs="Times New Roman"/>
                <w:sz w:val="19"/>
                <w:szCs w:val="19"/>
              </w:rPr>
              <w:t>American Council on Education, Gates</w:t>
            </w:r>
            <w:r>
              <w:rPr>
                <w:rFonts w:asciiTheme="minorHAnsi" w:eastAsia="Times New Roman" w:hAnsiTheme="minorHAnsi" w:cs="Times New Roman"/>
                <w:sz w:val="19"/>
                <w:szCs w:val="19"/>
              </w:rPr>
              <w:t xml:space="preserve"> Foundation</w:t>
            </w:r>
          </w:p>
        </w:tc>
      </w:tr>
      <w:tr w:rsidR="00CA7477" w14:paraId="54AF0DE4" w14:textId="77777777" w:rsidTr="00210234">
        <w:trPr>
          <w:trHeight w:val="60"/>
        </w:trPr>
        <w:tc>
          <w:tcPr>
            <w:tcW w:w="1710" w:type="dxa"/>
            <w:vMerge/>
            <w:shd w:val="clear" w:color="auto" w:fill="DBE5F1"/>
          </w:tcPr>
          <w:p w14:paraId="12D915C6" w14:textId="77777777" w:rsidR="00CA7477" w:rsidRPr="00A007DE" w:rsidRDefault="00CA7477" w:rsidP="00D74B46">
            <w:pPr>
              <w:rPr>
                <w:sz w:val="20"/>
                <w:szCs w:val="20"/>
              </w:rPr>
            </w:pPr>
          </w:p>
        </w:tc>
        <w:tc>
          <w:tcPr>
            <w:tcW w:w="540" w:type="dxa"/>
          </w:tcPr>
          <w:p w14:paraId="2D24FA90" w14:textId="09D01B75" w:rsidR="00CA7477" w:rsidRPr="001D0006" w:rsidRDefault="00CA7477" w:rsidP="005E223B">
            <w:pPr>
              <w:pStyle w:val="ListParagraph"/>
              <w:numPr>
                <w:ilvl w:val="0"/>
                <w:numId w:val="37"/>
              </w:numPr>
              <w:ind w:left="288"/>
              <w:rPr>
                <w:rFonts w:asciiTheme="minorHAnsi" w:eastAsia="Times New Roman" w:hAnsiTheme="minorHAnsi" w:cs="Times New Roman"/>
                <w:b/>
                <w:sz w:val="19"/>
                <w:szCs w:val="19"/>
              </w:rPr>
            </w:pPr>
          </w:p>
        </w:tc>
        <w:tc>
          <w:tcPr>
            <w:tcW w:w="9810" w:type="dxa"/>
          </w:tcPr>
          <w:p w14:paraId="7EAD3189" w14:textId="5C9CE4C5" w:rsidR="00CA7477" w:rsidRPr="001D0006" w:rsidRDefault="00CA7477" w:rsidP="00AC58AA">
            <w:pPr>
              <w:rPr>
                <w:rFonts w:asciiTheme="minorHAnsi" w:hAnsiTheme="minorHAnsi"/>
                <w:color w:val="auto"/>
                <w:sz w:val="19"/>
                <w:szCs w:val="19"/>
              </w:rPr>
            </w:pPr>
            <w:r w:rsidRPr="001D0006">
              <w:rPr>
                <w:rFonts w:asciiTheme="minorHAnsi" w:eastAsia="Times New Roman" w:hAnsiTheme="minorHAnsi" w:cs="Times New Roman"/>
                <w:b/>
                <w:color w:val="auto"/>
                <w:sz w:val="19"/>
                <w:szCs w:val="19"/>
              </w:rPr>
              <w:t xml:space="preserve">Community College/Career Collaboration (C4) </w:t>
            </w:r>
            <w:r w:rsidRPr="001D0006">
              <w:rPr>
                <w:rFonts w:asciiTheme="minorHAnsi" w:eastAsia="Times New Roman" w:hAnsiTheme="minorHAnsi" w:cs="Times New Roman"/>
                <w:color w:val="auto"/>
                <w:sz w:val="19"/>
                <w:szCs w:val="19"/>
              </w:rPr>
              <w:t xml:space="preserve">promotes Goodwill/community college partnership that uses PLA to accelerate student completion of credentials. Goodwill’s Operation: GoodJobs skills attainment and employment program for veterans and military families urges Goodwills to facilitate access to PLA opportunities.     </w:t>
            </w:r>
            <w:r w:rsidRPr="001D0006">
              <w:rPr>
                <w:rFonts w:asciiTheme="minorHAnsi" w:eastAsia="Times New Roman" w:hAnsiTheme="minorHAnsi" w:cs="Times New Roman"/>
                <w:b/>
                <w:color w:val="auto"/>
                <w:sz w:val="19"/>
                <w:szCs w:val="19"/>
              </w:rPr>
              <w:t xml:space="preserve"> </w:t>
            </w:r>
          </w:p>
        </w:tc>
        <w:tc>
          <w:tcPr>
            <w:tcW w:w="2250" w:type="dxa"/>
          </w:tcPr>
          <w:p w14:paraId="34084E09" w14:textId="770DDA9D" w:rsidR="00CA7477" w:rsidRPr="001D0006" w:rsidRDefault="00CA7477" w:rsidP="0099185D">
            <w:pPr>
              <w:jc w:val="center"/>
              <w:rPr>
                <w:rFonts w:asciiTheme="minorHAnsi" w:eastAsia="Times New Roman" w:hAnsiTheme="minorHAnsi" w:cs="Times New Roman"/>
                <w:sz w:val="19"/>
                <w:szCs w:val="19"/>
              </w:rPr>
            </w:pPr>
            <w:r w:rsidRPr="001D0006">
              <w:rPr>
                <w:rFonts w:asciiTheme="minorHAnsi" w:eastAsia="Times New Roman" w:hAnsiTheme="minorHAnsi" w:cs="Times New Roman"/>
                <w:sz w:val="19"/>
                <w:szCs w:val="19"/>
              </w:rPr>
              <w:t>Goodwill International, American Association of Community Colleges, Achieving the Dream.</w:t>
            </w:r>
          </w:p>
          <w:p w14:paraId="5552630F" w14:textId="3DA68942" w:rsidR="00CA7477" w:rsidRPr="001D0006" w:rsidRDefault="00CA7477" w:rsidP="0099185D">
            <w:pPr>
              <w:jc w:val="center"/>
              <w:rPr>
                <w:rFonts w:asciiTheme="minorHAnsi" w:hAnsiTheme="minorHAnsi"/>
                <w:sz w:val="19"/>
                <w:szCs w:val="19"/>
              </w:rPr>
            </w:pPr>
            <w:r w:rsidRPr="001D0006">
              <w:rPr>
                <w:rFonts w:asciiTheme="minorHAnsi" w:eastAsia="Times New Roman" w:hAnsiTheme="minorHAnsi" w:cs="Times New Roman"/>
                <w:sz w:val="19"/>
                <w:szCs w:val="19"/>
              </w:rPr>
              <w:t>Walmart</w:t>
            </w:r>
          </w:p>
        </w:tc>
      </w:tr>
      <w:tr w:rsidR="00CA7477" w14:paraId="22E80482" w14:textId="77777777" w:rsidTr="00210234">
        <w:trPr>
          <w:trHeight w:val="540"/>
        </w:trPr>
        <w:tc>
          <w:tcPr>
            <w:tcW w:w="1710" w:type="dxa"/>
            <w:vMerge/>
            <w:shd w:val="clear" w:color="auto" w:fill="DBE5F1"/>
          </w:tcPr>
          <w:p w14:paraId="5AB4BCB1" w14:textId="77777777" w:rsidR="00CA7477" w:rsidRPr="00A007DE" w:rsidRDefault="00CA7477" w:rsidP="00D74B46">
            <w:pPr>
              <w:rPr>
                <w:sz w:val="20"/>
                <w:szCs w:val="20"/>
              </w:rPr>
            </w:pPr>
          </w:p>
        </w:tc>
        <w:tc>
          <w:tcPr>
            <w:tcW w:w="540" w:type="dxa"/>
          </w:tcPr>
          <w:p w14:paraId="62B7BC79" w14:textId="0FBA1027" w:rsidR="00CA7477" w:rsidRPr="001D0006" w:rsidRDefault="00CA7477" w:rsidP="005E223B">
            <w:pPr>
              <w:pStyle w:val="ListParagraph"/>
              <w:numPr>
                <w:ilvl w:val="0"/>
                <w:numId w:val="37"/>
              </w:numPr>
              <w:ind w:left="288"/>
              <w:rPr>
                <w:rFonts w:asciiTheme="minorHAnsi" w:eastAsia="Times New Roman" w:hAnsiTheme="minorHAnsi" w:cs="Times New Roman"/>
                <w:b/>
                <w:sz w:val="19"/>
                <w:szCs w:val="19"/>
              </w:rPr>
            </w:pPr>
          </w:p>
        </w:tc>
        <w:tc>
          <w:tcPr>
            <w:tcW w:w="9810" w:type="dxa"/>
          </w:tcPr>
          <w:p w14:paraId="3DC6568F" w14:textId="77777777" w:rsidR="00CA7477" w:rsidRPr="001D0006" w:rsidRDefault="00CA7477" w:rsidP="00AC58AA">
            <w:pPr>
              <w:rPr>
                <w:rFonts w:asciiTheme="minorHAnsi" w:hAnsiTheme="minorHAnsi"/>
                <w:color w:val="auto"/>
                <w:sz w:val="19"/>
                <w:szCs w:val="19"/>
              </w:rPr>
            </w:pPr>
            <w:r w:rsidRPr="001D0006">
              <w:rPr>
                <w:rFonts w:asciiTheme="minorHAnsi" w:eastAsia="Times New Roman" w:hAnsiTheme="minorHAnsi" w:cs="Times New Roman"/>
                <w:b/>
                <w:color w:val="auto"/>
                <w:sz w:val="19"/>
                <w:szCs w:val="19"/>
              </w:rPr>
              <w:t>College Credit Fast Track</w:t>
            </w:r>
            <w:r w:rsidRPr="001D0006">
              <w:rPr>
                <w:rFonts w:asciiTheme="minorHAnsi" w:eastAsia="Times New Roman" w:hAnsiTheme="minorHAnsi" w:cs="Times New Roman"/>
                <w:color w:val="auto"/>
                <w:sz w:val="19"/>
                <w:szCs w:val="19"/>
              </w:rPr>
              <w:t xml:space="preserve"> - a collaborative partnership between Pennsylvania Community Colleges has launched an online workflow helping current and prospective students obtain college credit at Pennsylvania community colleges based on prior learning &amp; work experiences. </w:t>
            </w:r>
            <w:hyperlink r:id="rId67">
              <w:r w:rsidRPr="001D0006">
                <w:rPr>
                  <w:rFonts w:asciiTheme="minorHAnsi" w:eastAsia="Times New Roman" w:hAnsiTheme="minorHAnsi" w:cs="Times New Roman"/>
                  <w:color w:val="auto"/>
                  <w:sz w:val="19"/>
                  <w:szCs w:val="19"/>
                  <w:u w:val="single"/>
                </w:rPr>
                <w:t>https://www.ccfasttrack.org/</w:t>
              </w:r>
            </w:hyperlink>
          </w:p>
        </w:tc>
        <w:tc>
          <w:tcPr>
            <w:tcW w:w="2250" w:type="dxa"/>
          </w:tcPr>
          <w:p w14:paraId="7CF3754D" w14:textId="070BCF1C" w:rsidR="00CA7477" w:rsidRPr="001D0006" w:rsidRDefault="00CA7477" w:rsidP="00C71464">
            <w:pPr>
              <w:jc w:val="center"/>
              <w:rPr>
                <w:rFonts w:asciiTheme="minorHAnsi" w:hAnsiTheme="minorHAnsi"/>
                <w:sz w:val="19"/>
                <w:szCs w:val="19"/>
              </w:rPr>
            </w:pPr>
            <w:r w:rsidRPr="001D0006">
              <w:rPr>
                <w:rFonts w:asciiTheme="minorHAnsi" w:eastAsia="Times New Roman" w:hAnsiTheme="minorHAnsi" w:cs="Times New Roman"/>
                <w:sz w:val="19"/>
                <w:szCs w:val="19"/>
              </w:rPr>
              <w:t>Pennsylvania, AcademyOne</w:t>
            </w:r>
          </w:p>
        </w:tc>
      </w:tr>
      <w:tr w:rsidR="00CA7477" w14:paraId="76EC3E12" w14:textId="77777777" w:rsidTr="00210234">
        <w:trPr>
          <w:trHeight w:val="540"/>
        </w:trPr>
        <w:tc>
          <w:tcPr>
            <w:tcW w:w="1710" w:type="dxa"/>
            <w:vMerge/>
            <w:shd w:val="clear" w:color="auto" w:fill="DBE5F1"/>
          </w:tcPr>
          <w:p w14:paraId="273DCD92" w14:textId="77777777" w:rsidR="00CA7477" w:rsidRPr="00A007DE" w:rsidRDefault="00CA7477" w:rsidP="00D74B46">
            <w:pPr>
              <w:rPr>
                <w:sz w:val="20"/>
                <w:szCs w:val="20"/>
              </w:rPr>
            </w:pPr>
          </w:p>
        </w:tc>
        <w:tc>
          <w:tcPr>
            <w:tcW w:w="540" w:type="dxa"/>
          </w:tcPr>
          <w:p w14:paraId="090418E8" w14:textId="77777777" w:rsidR="00CA7477" w:rsidRPr="001D0006" w:rsidRDefault="00CA7477" w:rsidP="005E223B">
            <w:pPr>
              <w:pStyle w:val="ListParagraph"/>
              <w:numPr>
                <w:ilvl w:val="0"/>
                <w:numId w:val="37"/>
              </w:numPr>
              <w:ind w:left="288"/>
              <w:rPr>
                <w:rFonts w:asciiTheme="minorHAnsi" w:eastAsia="Times New Roman" w:hAnsiTheme="minorHAnsi" w:cs="Times New Roman"/>
                <w:b/>
                <w:sz w:val="19"/>
                <w:szCs w:val="19"/>
              </w:rPr>
            </w:pPr>
          </w:p>
        </w:tc>
        <w:tc>
          <w:tcPr>
            <w:tcW w:w="9810" w:type="dxa"/>
          </w:tcPr>
          <w:p w14:paraId="7D3C3EF7" w14:textId="68D77F8E" w:rsidR="00CA7477" w:rsidRPr="001D0006" w:rsidRDefault="00CA7477" w:rsidP="0041674E">
            <w:pPr>
              <w:rPr>
                <w:rFonts w:asciiTheme="minorHAnsi" w:eastAsia="Times New Roman" w:hAnsiTheme="minorHAnsi" w:cs="Times New Roman"/>
                <w:b/>
                <w:color w:val="auto"/>
                <w:sz w:val="19"/>
                <w:szCs w:val="19"/>
              </w:rPr>
            </w:pPr>
            <w:r w:rsidRPr="001D0006">
              <w:rPr>
                <w:rFonts w:asciiTheme="minorHAnsi" w:eastAsia="Times New Roman" w:hAnsiTheme="minorHAnsi" w:cs="Times New Roman"/>
                <w:b/>
                <w:color w:val="auto"/>
                <w:sz w:val="19"/>
                <w:szCs w:val="19"/>
              </w:rPr>
              <w:t>P360</w:t>
            </w:r>
            <w:r w:rsidRPr="001D0006">
              <w:rPr>
                <w:rFonts w:asciiTheme="minorHAnsi" w:eastAsia="Times New Roman" w:hAnsiTheme="minorHAnsi" w:cs="Times New Roman"/>
                <w:color w:val="auto"/>
                <w:sz w:val="19"/>
                <w:szCs w:val="19"/>
              </w:rPr>
              <w:t xml:space="preserve"> - an international platform launched to help global institutions address petitions for academic credit</w:t>
            </w:r>
            <w:r>
              <w:rPr>
                <w:rFonts w:asciiTheme="minorHAnsi" w:eastAsia="Times New Roman" w:hAnsiTheme="minorHAnsi" w:cs="Times New Roman"/>
                <w:color w:val="auto"/>
                <w:sz w:val="19"/>
                <w:szCs w:val="19"/>
              </w:rPr>
              <w:t xml:space="preserve"> by linking</w:t>
            </w:r>
            <w:r w:rsidRPr="0041674E">
              <w:rPr>
                <w:rFonts w:asciiTheme="minorHAnsi" w:eastAsia="Times New Roman" w:hAnsiTheme="minorHAnsi" w:cs="Times New Roman"/>
                <w:color w:val="auto"/>
                <w:sz w:val="19"/>
                <w:szCs w:val="19"/>
              </w:rPr>
              <w:t xml:space="preserve"> sources of learning to target competencies, outcomes and units of learning that may satisfy pathway requirements leading to credentials</w:t>
            </w:r>
            <w:r>
              <w:rPr>
                <w:rFonts w:asciiTheme="minorHAnsi" w:eastAsia="Times New Roman" w:hAnsiTheme="minorHAnsi" w:cs="Times New Roman"/>
                <w:color w:val="auto"/>
                <w:sz w:val="19"/>
                <w:szCs w:val="19"/>
              </w:rPr>
              <w:t>.</w:t>
            </w:r>
            <w:r w:rsidRPr="001D0006">
              <w:rPr>
                <w:rFonts w:asciiTheme="minorHAnsi" w:eastAsia="Times New Roman" w:hAnsiTheme="minorHAnsi" w:cs="Times New Roman"/>
                <w:color w:val="auto"/>
                <w:sz w:val="19"/>
                <w:szCs w:val="19"/>
              </w:rPr>
              <w:t xml:space="preserve">  Currently, P360 is being piloted by Australian Universities working with the Australi</w:t>
            </w:r>
            <w:r>
              <w:rPr>
                <w:rFonts w:asciiTheme="minorHAnsi" w:eastAsia="Times New Roman" w:hAnsiTheme="minorHAnsi" w:cs="Times New Roman"/>
                <w:color w:val="auto"/>
                <w:sz w:val="19"/>
                <w:szCs w:val="19"/>
              </w:rPr>
              <w:t>an Qualification Framework.</w:t>
            </w:r>
            <w:r w:rsidRPr="001D0006">
              <w:rPr>
                <w:rFonts w:asciiTheme="minorHAnsi" w:eastAsia="Times New Roman" w:hAnsiTheme="minorHAnsi" w:cs="Times New Roman"/>
                <w:color w:val="auto"/>
                <w:sz w:val="19"/>
                <w:szCs w:val="19"/>
              </w:rPr>
              <w:t xml:space="preserve"> Student progress checking is built-in an online modeler and calculator allowing pathway comparison, program of study plans and approval. </w:t>
            </w:r>
          </w:p>
        </w:tc>
        <w:tc>
          <w:tcPr>
            <w:tcW w:w="2250" w:type="dxa"/>
          </w:tcPr>
          <w:p w14:paraId="0B487CE6" w14:textId="5C0DA7E8" w:rsidR="00CA7477" w:rsidRPr="001D0006" w:rsidRDefault="00CA7477" w:rsidP="0099185D">
            <w:pPr>
              <w:jc w:val="center"/>
              <w:rPr>
                <w:rFonts w:asciiTheme="minorHAnsi" w:eastAsia="Times New Roman" w:hAnsiTheme="minorHAnsi" w:cs="Times New Roman"/>
                <w:sz w:val="19"/>
                <w:szCs w:val="19"/>
              </w:rPr>
            </w:pPr>
            <w:r w:rsidRPr="001D0006">
              <w:rPr>
                <w:rFonts w:asciiTheme="minorHAnsi" w:eastAsia="Times New Roman" w:hAnsiTheme="minorHAnsi" w:cs="Times New Roman"/>
                <w:sz w:val="19"/>
                <w:szCs w:val="19"/>
              </w:rPr>
              <w:t>AcademyOne</w:t>
            </w:r>
          </w:p>
        </w:tc>
      </w:tr>
      <w:tr w:rsidR="00CA7477" w14:paraId="251A76C5" w14:textId="77777777" w:rsidTr="00210234">
        <w:trPr>
          <w:trHeight w:val="540"/>
        </w:trPr>
        <w:tc>
          <w:tcPr>
            <w:tcW w:w="1710" w:type="dxa"/>
            <w:shd w:val="clear" w:color="auto" w:fill="DBE5F1"/>
          </w:tcPr>
          <w:p w14:paraId="6E317FB8" w14:textId="77777777" w:rsidR="00CA7477" w:rsidRPr="00A007DE" w:rsidRDefault="00CA7477" w:rsidP="00D74B46">
            <w:pPr>
              <w:rPr>
                <w:sz w:val="20"/>
                <w:szCs w:val="20"/>
              </w:rPr>
            </w:pPr>
          </w:p>
        </w:tc>
        <w:tc>
          <w:tcPr>
            <w:tcW w:w="540" w:type="dxa"/>
          </w:tcPr>
          <w:p w14:paraId="7BFD9F90" w14:textId="77777777" w:rsidR="00CA7477" w:rsidRPr="001D0006" w:rsidRDefault="00CA7477" w:rsidP="005E223B">
            <w:pPr>
              <w:pStyle w:val="ListParagraph"/>
              <w:numPr>
                <w:ilvl w:val="0"/>
                <w:numId w:val="37"/>
              </w:numPr>
              <w:ind w:left="288"/>
              <w:rPr>
                <w:rFonts w:asciiTheme="minorHAnsi" w:eastAsia="Times New Roman" w:hAnsiTheme="minorHAnsi" w:cs="Times New Roman"/>
                <w:b/>
                <w:sz w:val="19"/>
                <w:szCs w:val="19"/>
              </w:rPr>
            </w:pPr>
          </w:p>
        </w:tc>
        <w:tc>
          <w:tcPr>
            <w:tcW w:w="9810" w:type="dxa"/>
          </w:tcPr>
          <w:p w14:paraId="4BDF62E7" w14:textId="55E8A60D" w:rsidR="00CA7477" w:rsidRPr="00CA7477" w:rsidRDefault="00CA7477" w:rsidP="0041674E">
            <w:pPr>
              <w:rPr>
                <w:rFonts w:asciiTheme="minorHAnsi" w:eastAsia="Times New Roman" w:hAnsiTheme="minorHAnsi" w:cs="Times New Roman"/>
                <w:b/>
                <w:sz w:val="18"/>
                <w:szCs w:val="18"/>
              </w:rPr>
            </w:pPr>
            <w:r w:rsidRPr="00CA7477">
              <w:rPr>
                <w:rFonts w:asciiTheme="minorHAnsi" w:eastAsia="Times New Roman" w:hAnsiTheme="minorHAnsi" w:cs="Times New Roman"/>
                <w:b/>
                <w:sz w:val="18"/>
                <w:szCs w:val="18"/>
              </w:rPr>
              <w:t>Consortium for the Assessment of College Equivalency</w:t>
            </w:r>
            <w:r>
              <w:rPr>
                <w:rFonts w:asciiTheme="minorHAnsi" w:eastAsia="Times New Roman" w:hAnsiTheme="minorHAnsi" w:cs="Times New Roman"/>
                <w:b/>
                <w:sz w:val="18"/>
                <w:szCs w:val="18"/>
              </w:rPr>
              <w:t xml:space="preserve">   </w:t>
            </w:r>
            <w:r w:rsidRPr="00CA7477">
              <w:rPr>
                <w:rFonts w:asciiTheme="minorHAnsi" w:eastAsia="Times New Roman" w:hAnsiTheme="minorHAnsi" w:cs="Times New Roman"/>
                <w:sz w:val="18"/>
                <w:szCs w:val="18"/>
              </w:rPr>
              <w:t>Established standards for assessment of credentials from non-collegial sources to award credit toward a degree through a Memorandum of Agreement signed by six colleges.  Participating colleges accept notarized  documents from credential source (a</w:t>
            </w:r>
            <w:r>
              <w:rPr>
                <w:rFonts w:asciiTheme="minorHAnsi" w:eastAsia="Times New Roman" w:hAnsiTheme="minorHAnsi" w:cs="Times New Roman"/>
                <w:sz w:val="18"/>
                <w:szCs w:val="18"/>
              </w:rPr>
              <w:t xml:space="preserve"> transcript is not required).  </w:t>
            </w:r>
            <w:r w:rsidRPr="00CA7477">
              <w:rPr>
                <w:rFonts w:asciiTheme="minorHAnsi" w:eastAsia="Times New Roman" w:hAnsiTheme="minorHAnsi" w:cs="Times New Roman"/>
                <w:sz w:val="18"/>
                <w:szCs w:val="18"/>
                <w:u w:val="single"/>
              </w:rPr>
              <w:t>Organizations:</w:t>
            </w:r>
            <w:r w:rsidRPr="00CA7477">
              <w:rPr>
                <w:rFonts w:asciiTheme="minorHAnsi" w:eastAsia="Times New Roman" w:hAnsiTheme="minorHAnsi" w:cs="Times New Roman"/>
                <w:sz w:val="18"/>
                <w:szCs w:val="18"/>
              </w:rPr>
              <w:t xml:space="preserve">  Consortium for the Assessment of College Equivalency (includes Empire State, Excelsior, Thomas Edison, Granite State, Community College of Vermont, Charter Oak).  </w:t>
            </w:r>
          </w:p>
        </w:tc>
        <w:tc>
          <w:tcPr>
            <w:tcW w:w="2250" w:type="dxa"/>
          </w:tcPr>
          <w:p w14:paraId="53E2210B" w14:textId="77777777" w:rsidR="00CA7477" w:rsidRPr="001D0006" w:rsidRDefault="00CA7477" w:rsidP="0099185D">
            <w:pPr>
              <w:jc w:val="center"/>
              <w:rPr>
                <w:rFonts w:asciiTheme="minorHAnsi" w:eastAsia="Times New Roman" w:hAnsiTheme="minorHAnsi" w:cs="Times New Roman"/>
                <w:sz w:val="19"/>
                <w:szCs w:val="19"/>
              </w:rPr>
            </w:pPr>
          </w:p>
        </w:tc>
      </w:tr>
      <w:tr w:rsidR="00CA7477" w14:paraId="3F126304" w14:textId="77777777" w:rsidTr="00210234">
        <w:tc>
          <w:tcPr>
            <w:tcW w:w="1710" w:type="dxa"/>
            <w:vMerge w:val="restart"/>
            <w:shd w:val="clear" w:color="auto" w:fill="DBE5F1"/>
          </w:tcPr>
          <w:p w14:paraId="1D77FEE0" w14:textId="77777777" w:rsidR="00CA7477" w:rsidRPr="00A007DE" w:rsidRDefault="00CA7477" w:rsidP="004A790A">
            <w:pPr>
              <w:rPr>
                <w:rFonts w:asciiTheme="minorHAnsi" w:eastAsia="Times New Roman" w:hAnsiTheme="minorHAnsi" w:cs="Times New Roman"/>
                <w:sz w:val="20"/>
                <w:szCs w:val="20"/>
              </w:rPr>
            </w:pPr>
          </w:p>
          <w:p w14:paraId="1F799DE3" w14:textId="77777777" w:rsidR="00CA7477" w:rsidRPr="00A007DE" w:rsidRDefault="00CA7477" w:rsidP="004A790A">
            <w:pPr>
              <w:rPr>
                <w:rFonts w:asciiTheme="minorHAnsi" w:eastAsia="Times New Roman" w:hAnsiTheme="minorHAnsi" w:cs="Times New Roman"/>
                <w:sz w:val="20"/>
                <w:szCs w:val="20"/>
              </w:rPr>
            </w:pPr>
          </w:p>
          <w:p w14:paraId="10301127" w14:textId="77777777" w:rsidR="00CA7477" w:rsidRDefault="00CA7477" w:rsidP="004A790A">
            <w:pPr>
              <w:rPr>
                <w:rFonts w:asciiTheme="minorHAnsi" w:eastAsia="Times New Roman" w:hAnsiTheme="minorHAnsi" w:cs="Times New Roman"/>
                <w:sz w:val="20"/>
                <w:szCs w:val="20"/>
              </w:rPr>
            </w:pPr>
          </w:p>
          <w:p w14:paraId="1F0EAE02" w14:textId="77777777" w:rsidR="00CA7477" w:rsidRDefault="00CA7477" w:rsidP="004A790A">
            <w:pPr>
              <w:rPr>
                <w:rFonts w:asciiTheme="minorHAnsi" w:eastAsia="Times New Roman" w:hAnsiTheme="minorHAnsi" w:cs="Times New Roman"/>
                <w:sz w:val="20"/>
                <w:szCs w:val="20"/>
              </w:rPr>
            </w:pPr>
          </w:p>
          <w:p w14:paraId="113635FB" w14:textId="77777777" w:rsidR="00CA7477" w:rsidRDefault="00CA7477" w:rsidP="004A790A">
            <w:pPr>
              <w:rPr>
                <w:rFonts w:asciiTheme="minorHAnsi" w:eastAsia="Times New Roman" w:hAnsiTheme="minorHAnsi" w:cs="Times New Roman"/>
                <w:sz w:val="20"/>
                <w:szCs w:val="20"/>
              </w:rPr>
            </w:pPr>
          </w:p>
          <w:p w14:paraId="60374B20" w14:textId="77777777" w:rsidR="00CA7477" w:rsidRPr="00A007DE" w:rsidRDefault="00CA7477" w:rsidP="004A790A">
            <w:pPr>
              <w:rPr>
                <w:rFonts w:asciiTheme="minorHAnsi" w:hAnsiTheme="minorHAnsi"/>
                <w:sz w:val="20"/>
                <w:szCs w:val="20"/>
              </w:rPr>
            </w:pPr>
            <w:r w:rsidRPr="00A007DE">
              <w:rPr>
                <w:rFonts w:asciiTheme="minorHAnsi" w:eastAsia="Times New Roman" w:hAnsiTheme="minorHAnsi" w:cs="Times New Roman"/>
                <w:sz w:val="20"/>
                <w:szCs w:val="20"/>
              </w:rPr>
              <w:lastRenderedPageBreak/>
              <w:t xml:space="preserve">Articulation </w:t>
            </w:r>
          </w:p>
          <w:p w14:paraId="444A050F" w14:textId="77777777" w:rsidR="00CA7477" w:rsidRPr="00A007DE" w:rsidRDefault="00CA7477" w:rsidP="004A790A">
            <w:pPr>
              <w:rPr>
                <w:rFonts w:asciiTheme="minorHAnsi" w:hAnsiTheme="minorHAnsi"/>
                <w:sz w:val="20"/>
                <w:szCs w:val="20"/>
              </w:rPr>
            </w:pPr>
            <w:r w:rsidRPr="00A007DE">
              <w:rPr>
                <w:rFonts w:asciiTheme="minorHAnsi" w:eastAsia="Times New Roman" w:hAnsiTheme="minorHAnsi" w:cs="Times New Roman"/>
                <w:sz w:val="20"/>
                <w:szCs w:val="20"/>
              </w:rPr>
              <w:t xml:space="preserve">and transfer </w:t>
            </w:r>
          </w:p>
          <w:p w14:paraId="7CCDD198" w14:textId="77777777" w:rsidR="00CA7477" w:rsidRPr="00A007DE" w:rsidRDefault="00CA7477" w:rsidP="00D74B46">
            <w:pPr>
              <w:rPr>
                <w:sz w:val="20"/>
                <w:szCs w:val="20"/>
              </w:rPr>
            </w:pPr>
          </w:p>
        </w:tc>
        <w:tc>
          <w:tcPr>
            <w:tcW w:w="540" w:type="dxa"/>
          </w:tcPr>
          <w:p w14:paraId="7EEEAD86" w14:textId="291BB52A" w:rsidR="00CA7477" w:rsidRPr="00C71464" w:rsidRDefault="00CA7477" w:rsidP="005E223B">
            <w:pPr>
              <w:pStyle w:val="ListParagraph"/>
              <w:numPr>
                <w:ilvl w:val="0"/>
                <w:numId w:val="37"/>
              </w:numPr>
              <w:ind w:left="288"/>
              <w:rPr>
                <w:rFonts w:asciiTheme="minorHAnsi" w:eastAsia="Times New Roman" w:hAnsiTheme="minorHAnsi" w:cs="Times New Roman"/>
                <w:b/>
                <w:sz w:val="19"/>
                <w:szCs w:val="19"/>
              </w:rPr>
            </w:pPr>
          </w:p>
        </w:tc>
        <w:tc>
          <w:tcPr>
            <w:tcW w:w="9810" w:type="dxa"/>
          </w:tcPr>
          <w:p w14:paraId="51BCC3AD" w14:textId="3FA56E6A" w:rsidR="00CA7477" w:rsidRPr="00C71464" w:rsidRDefault="00CA7477" w:rsidP="00D8769F">
            <w:pPr>
              <w:rPr>
                <w:rFonts w:asciiTheme="minorHAnsi" w:hAnsiTheme="minorHAnsi"/>
                <w:color w:val="auto"/>
                <w:sz w:val="19"/>
                <w:szCs w:val="19"/>
              </w:rPr>
            </w:pPr>
            <w:r w:rsidRPr="00C71464">
              <w:rPr>
                <w:rFonts w:asciiTheme="minorHAnsi" w:eastAsia="Times New Roman" w:hAnsiTheme="minorHAnsi" w:cs="Times New Roman"/>
                <w:b/>
                <w:color w:val="auto"/>
                <w:sz w:val="19"/>
                <w:szCs w:val="19"/>
              </w:rPr>
              <w:t>Interstate Passport Initiative</w:t>
            </w:r>
            <w:r w:rsidRPr="00C71464">
              <w:rPr>
                <w:rFonts w:asciiTheme="minorHAnsi" w:eastAsia="Times New Roman" w:hAnsiTheme="minorHAnsi" w:cs="Times New Roman"/>
                <w:color w:val="auto"/>
                <w:sz w:val="19"/>
                <w:szCs w:val="19"/>
              </w:rPr>
              <w:t xml:space="preserve"> is developing the passport as a new framework for block transfer of lower-division general education based on learning outcomes and transfer-level proficiency criteria thereby improving graduation rates, shortening time to degree, and saving students money. </w:t>
            </w:r>
            <w:hyperlink r:id="rId68">
              <w:r w:rsidRPr="00C71464">
                <w:rPr>
                  <w:rFonts w:asciiTheme="minorHAnsi" w:eastAsia="Times New Roman" w:hAnsiTheme="minorHAnsi" w:cs="Times New Roman"/>
                  <w:color w:val="auto"/>
                  <w:sz w:val="19"/>
                  <w:szCs w:val="19"/>
                  <w:u w:val="single"/>
                </w:rPr>
                <w:t>http://www.wiche.edu/passport/home</w:t>
              </w:r>
            </w:hyperlink>
            <w:r w:rsidRPr="00C71464">
              <w:rPr>
                <w:rFonts w:asciiTheme="minorHAnsi" w:eastAsia="Times New Roman" w:hAnsiTheme="minorHAnsi" w:cs="Times New Roman"/>
                <w:color w:val="auto"/>
                <w:sz w:val="19"/>
                <w:szCs w:val="19"/>
              </w:rPr>
              <w:t xml:space="preserve">  </w:t>
            </w:r>
          </w:p>
        </w:tc>
        <w:tc>
          <w:tcPr>
            <w:tcW w:w="2250" w:type="dxa"/>
          </w:tcPr>
          <w:p w14:paraId="51AB98D1" w14:textId="6B250F49" w:rsidR="00CA7477" w:rsidRPr="00C71464" w:rsidRDefault="00CA7477" w:rsidP="00B16724">
            <w:pPr>
              <w:jc w:val="center"/>
              <w:rPr>
                <w:rFonts w:asciiTheme="minorHAnsi" w:hAnsiTheme="minorHAnsi"/>
                <w:sz w:val="19"/>
                <w:szCs w:val="19"/>
              </w:rPr>
            </w:pPr>
            <w:r w:rsidRPr="00C71464">
              <w:rPr>
                <w:rFonts w:asciiTheme="minorHAnsi" w:eastAsia="Times New Roman" w:hAnsiTheme="minorHAnsi" w:cs="Times New Roman"/>
                <w:sz w:val="19"/>
                <w:szCs w:val="19"/>
              </w:rPr>
              <w:t xml:space="preserve">Western Interstate Commission for Higher Education – Gates </w:t>
            </w:r>
            <w:r>
              <w:rPr>
                <w:rFonts w:asciiTheme="minorHAnsi" w:eastAsia="Times New Roman" w:hAnsiTheme="minorHAnsi" w:cs="Times New Roman"/>
                <w:sz w:val="19"/>
                <w:szCs w:val="19"/>
              </w:rPr>
              <w:t xml:space="preserve">&amp; </w:t>
            </w:r>
            <w:r w:rsidRPr="00C71464">
              <w:rPr>
                <w:rFonts w:asciiTheme="minorHAnsi" w:eastAsia="Times New Roman" w:hAnsiTheme="minorHAnsi" w:cs="Times New Roman"/>
                <w:sz w:val="19"/>
                <w:szCs w:val="19"/>
              </w:rPr>
              <w:t xml:space="preserve"> Lumina Foundations</w:t>
            </w:r>
          </w:p>
        </w:tc>
      </w:tr>
      <w:tr w:rsidR="00CA7477" w14:paraId="0A9F1742" w14:textId="77777777" w:rsidTr="00210234">
        <w:tc>
          <w:tcPr>
            <w:tcW w:w="1710" w:type="dxa"/>
            <w:vMerge/>
            <w:shd w:val="clear" w:color="auto" w:fill="DBE5F1"/>
          </w:tcPr>
          <w:p w14:paraId="3F6D692B" w14:textId="77777777" w:rsidR="00CA7477" w:rsidRPr="00A007DE" w:rsidRDefault="00CA7477" w:rsidP="00D74B46">
            <w:pPr>
              <w:rPr>
                <w:sz w:val="20"/>
                <w:szCs w:val="20"/>
              </w:rPr>
            </w:pPr>
          </w:p>
        </w:tc>
        <w:tc>
          <w:tcPr>
            <w:tcW w:w="540" w:type="dxa"/>
          </w:tcPr>
          <w:p w14:paraId="636872DB" w14:textId="2701CD26" w:rsidR="00CA7477" w:rsidRPr="00C71464" w:rsidRDefault="00CA7477" w:rsidP="005E223B">
            <w:pPr>
              <w:pStyle w:val="ListParagraph"/>
              <w:numPr>
                <w:ilvl w:val="0"/>
                <w:numId w:val="37"/>
              </w:numPr>
              <w:ind w:left="288"/>
              <w:jc w:val="center"/>
              <w:rPr>
                <w:rFonts w:asciiTheme="minorHAnsi" w:eastAsia="Times New Roman" w:hAnsiTheme="minorHAnsi" w:cs="Times New Roman"/>
                <w:b/>
                <w:sz w:val="19"/>
                <w:szCs w:val="19"/>
              </w:rPr>
            </w:pPr>
          </w:p>
        </w:tc>
        <w:tc>
          <w:tcPr>
            <w:tcW w:w="9810" w:type="dxa"/>
          </w:tcPr>
          <w:p w14:paraId="01DFA466" w14:textId="2394C493" w:rsidR="00CA7477" w:rsidRPr="00C71464" w:rsidRDefault="00CA7477" w:rsidP="00333544">
            <w:pPr>
              <w:rPr>
                <w:rFonts w:asciiTheme="minorHAnsi" w:hAnsiTheme="minorHAnsi"/>
                <w:color w:val="auto"/>
                <w:sz w:val="19"/>
                <w:szCs w:val="19"/>
              </w:rPr>
            </w:pPr>
            <w:r w:rsidRPr="0041674E">
              <w:rPr>
                <w:rFonts w:asciiTheme="minorHAnsi" w:eastAsia="Times New Roman" w:hAnsiTheme="minorHAnsi" w:cs="Times New Roman"/>
                <w:b/>
                <w:color w:val="auto"/>
                <w:sz w:val="19"/>
                <w:szCs w:val="19"/>
              </w:rPr>
              <w:t>Reverse transfer automated workflow</w:t>
            </w:r>
            <w:r w:rsidRPr="00C71464">
              <w:rPr>
                <w:rFonts w:asciiTheme="minorHAnsi" w:eastAsia="Times New Roman" w:hAnsiTheme="minorHAnsi" w:cs="Times New Roman"/>
                <w:color w:val="auto"/>
                <w:sz w:val="19"/>
                <w:szCs w:val="19"/>
              </w:rPr>
              <w:t xml:space="preserve"> with </w:t>
            </w:r>
            <w:r>
              <w:rPr>
                <w:rFonts w:asciiTheme="minorHAnsi" w:eastAsia="Times New Roman" w:hAnsiTheme="minorHAnsi" w:cs="Times New Roman"/>
                <w:color w:val="auto"/>
                <w:sz w:val="19"/>
                <w:szCs w:val="19"/>
              </w:rPr>
              <w:t>p</w:t>
            </w:r>
            <w:r w:rsidRPr="00C71464">
              <w:rPr>
                <w:rFonts w:asciiTheme="minorHAnsi" w:eastAsia="Times New Roman" w:hAnsiTheme="minorHAnsi" w:cs="Times New Roman"/>
                <w:color w:val="auto"/>
                <w:sz w:val="19"/>
                <w:szCs w:val="19"/>
              </w:rPr>
              <w:t xml:space="preserve">ublic </w:t>
            </w:r>
            <w:r>
              <w:rPr>
                <w:rFonts w:asciiTheme="minorHAnsi" w:eastAsia="Times New Roman" w:hAnsiTheme="minorHAnsi" w:cs="Times New Roman"/>
                <w:color w:val="auto"/>
                <w:sz w:val="19"/>
                <w:szCs w:val="19"/>
              </w:rPr>
              <w:t>t</w:t>
            </w:r>
            <w:r w:rsidRPr="00C71464">
              <w:rPr>
                <w:rFonts w:asciiTheme="minorHAnsi" w:eastAsia="Times New Roman" w:hAnsiTheme="minorHAnsi" w:cs="Times New Roman"/>
                <w:color w:val="auto"/>
                <w:sz w:val="19"/>
                <w:szCs w:val="19"/>
              </w:rPr>
              <w:t xml:space="preserve">wo and </w:t>
            </w:r>
            <w:r>
              <w:rPr>
                <w:rFonts w:asciiTheme="minorHAnsi" w:eastAsia="Times New Roman" w:hAnsiTheme="minorHAnsi" w:cs="Times New Roman"/>
                <w:color w:val="auto"/>
                <w:sz w:val="19"/>
                <w:szCs w:val="19"/>
              </w:rPr>
              <w:t>f</w:t>
            </w:r>
            <w:r w:rsidRPr="00C71464">
              <w:rPr>
                <w:rFonts w:asciiTheme="minorHAnsi" w:eastAsia="Times New Roman" w:hAnsiTheme="minorHAnsi" w:cs="Times New Roman"/>
                <w:color w:val="auto"/>
                <w:sz w:val="19"/>
                <w:szCs w:val="19"/>
              </w:rPr>
              <w:t xml:space="preserve">our </w:t>
            </w:r>
            <w:r>
              <w:rPr>
                <w:rFonts w:asciiTheme="minorHAnsi" w:eastAsia="Times New Roman" w:hAnsiTheme="minorHAnsi" w:cs="Times New Roman"/>
                <w:color w:val="auto"/>
                <w:sz w:val="19"/>
                <w:szCs w:val="19"/>
              </w:rPr>
              <w:t>y</w:t>
            </w:r>
            <w:r w:rsidRPr="00C71464">
              <w:rPr>
                <w:rFonts w:asciiTheme="minorHAnsi" w:eastAsia="Times New Roman" w:hAnsiTheme="minorHAnsi" w:cs="Times New Roman"/>
                <w:color w:val="auto"/>
                <w:sz w:val="19"/>
                <w:szCs w:val="19"/>
              </w:rPr>
              <w:t>ear Institutions sharing common platform to determine pathway eligibility and completion.http://www.tntransferpathway.org/reverse-pathways/tennessee-reverse-transfer.</w:t>
            </w:r>
          </w:p>
        </w:tc>
        <w:tc>
          <w:tcPr>
            <w:tcW w:w="2250" w:type="dxa"/>
          </w:tcPr>
          <w:p w14:paraId="7BB284D7" w14:textId="590C1548" w:rsidR="00CA7477" w:rsidRPr="00C71464" w:rsidRDefault="00CA7477" w:rsidP="0099185D">
            <w:pPr>
              <w:jc w:val="center"/>
              <w:rPr>
                <w:rFonts w:asciiTheme="minorHAnsi" w:hAnsiTheme="minorHAnsi"/>
                <w:sz w:val="19"/>
                <w:szCs w:val="19"/>
              </w:rPr>
            </w:pPr>
            <w:r w:rsidRPr="00C71464">
              <w:rPr>
                <w:rFonts w:asciiTheme="minorHAnsi" w:eastAsia="Times New Roman" w:hAnsiTheme="minorHAnsi" w:cs="Times New Roman"/>
                <w:sz w:val="19"/>
                <w:szCs w:val="19"/>
              </w:rPr>
              <w:t>Tennessee, AcademyOne</w:t>
            </w:r>
          </w:p>
        </w:tc>
      </w:tr>
      <w:tr w:rsidR="00CA7477" w14:paraId="4537AB15" w14:textId="77777777" w:rsidTr="00210234">
        <w:tc>
          <w:tcPr>
            <w:tcW w:w="1710" w:type="dxa"/>
            <w:vMerge/>
            <w:shd w:val="clear" w:color="auto" w:fill="DBE5F1"/>
          </w:tcPr>
          <w:p w14:paraId="144BFFCB" w14:textId="77777777" w:rsidR="00CA7477" w:rsidRPr="00A007DE" w:rsidRDefault="00CA7477">
            <w:pPr>
              <w:rPr>
                <w:sz w:val="20"/>
                <w:szCs w:val="20"/>
              </w:rPr>
            </w:pPr>
          </w:p>
        </w:tc>
        <w:tc>
          <w:tcPr>
            <w:tcW w:w="540" w:type="dxa"/>
          </w:tcPr>
          <w:p w14:paraId="42A0C6CB" w14:textId="0B27E9D3" w:rsidR="00CA7477" w:rsidRPr="00C71464" w:rsidRDefault="00CA7477" w:rsidP="005E223B">
            <w:pPr>
              <w:pStyle w:val="ListParagraph"/>
              <w:numPr>
                <w:ilvl w:val="0"/>
                <w:numId w:val="37"/>
              </w:numPr>
              <w:ind w:left="288"/>
              <w:jc w:val="center"/>
              <w:rPr>
                <w:rFonts w:asciiTheme="minorHAnsi" w:eastAsia="Times New Roman" w:hAnsiTheme="minorHAnsi" w:cs="Times New Roman"/>
                <w:b/>
                <w:sz w:val="19"/>
                <w:szCs w:val="19"/>
              </w:rPr>
            </w:pPr>
          </w:p>
        </w:tc>
        <w:tc>
          <w:tcPr>
            <w:tcW w:w="9810" w:type="dxa"/>
          </w:tcPr>
          <w:p w14:paraId="2CF72E7E" w14:textId="77777777" w:rsidR="00CA7477" w:rsidRPr="00C71464" w:rsidRDefault="00CA7477" w:rsidP="00C951D8">
            <w:pPr>
              <w:rPr>
                <w:rFonts w:asciiTheme="minorHAnsi" w:hAnsiTheme="minorHAnsi"/>
                <w:color w:val="auto"/>
                <w:sz w:val="19"/>
                <w:szCs w:val="19"/>
              </w:rPr>
            </w:pPr>
            <w:r w:rsidRPr="00C71464">
              <w:rPr>
                <w:rFonts w:asciiTheme="minorHAnsi" w:eastAsia="Times New Roman" w:hAnsiTheme="minorHAnsi" w:cs="Times New Roman"/>
                <w:b/>
                <w:color w:val="auto"/>
                <w:sz w:val="19"/>
                <w:szCs w:val="19"/>
              </w:rPr>
              <w:t xml:space="preserve">Interstate transfer capacity building, </w:t>
            </w:r>
            <w:r w:rsidRPr="00C71464">
              <w:rPr>
                <w:rFonts w:asciiTheme="minorHAnsi" w:eastAsia="Times New Roman" w:hAnsiTheme="minorHAnsi" w:cs="Times New Roman"/>
                <w:color w:val="auto"/>
                <w:sz w:val="19"/>
                <w:szCs w:val="19"/>
              </w:rPr>
              <w:t>a national system through which institutions can easily and successfully communicate course, grade and credit information while respecting student privacy in order to award degrees when appropriate.</w:t>
            </w:r>
          </w:p>
        </w:tc>
        <w:tc>
          <w:tcPr>
            <w:tcW w:w="2250" w:type="dxa"/>
          </w:tcPr>
          <w:p w14:paraId="21BF5BF6" w14:textId="460078C3" w:rsidR="00CA7477" w:rsidRPr="00C71464" w:rsidRDefault="00CA7477" w:rsidP="008A6C92">
            <w:pPr>
              <w:jc w:val="center"/>
              <w:rPr>
                <w:rFonts w:asciiTheme="minorHAnsi" w:hAnsiTheme="minorHAnsi"/>
                <w:sz w:val="19"/>
                <w:szCs w:val="19"/>
              </w:rPr>
            </w:pPr>
            <w:r w:rsidRPr="00C71464">
              <w:rPr>
                <w:rFonts w:asciiTheme="minorHAnsi" w:eastAsia="Times New Roman" w:hAnsiTheme="minorHAnsi" w:cs="Times New Roman"/>
                <w:sz w:val="19"/>
                <w:szCs w:val="19"/>
              </w:rPr>
              <w:t>National Student Clearinghouse, Lumina</w:t>
            </w:r>
            <w:r>
              <w:rPr>
                <w:rFonts w:asciiTheme="minorHAnsi" w:eastAsia="Times New Roman" w:hAnsiTheme="minorHAnsi" w:cs="Times New Roman"/>
                <w:sz w:val="19"/>
                <w:szCs w:val="19"/>
              </w:rPr>
              <w:t xml:space="preserve"> Foundation</w:t>
            </w:r>
          </w:p>
        </w:tc>
      </w:tr>
      <w:tr w:rsidR="00CA7477" w14:paraId="33F8C404" w14:textId="77777777" w:rsidTr="00210234">
        <w:tc>
          <w:tcPr>
            <w:tcW w:w="1710" w:type="dxa"/>
            <w:vMerge/>
            <w:shd w:val="clear" w:color="auto" w:fill="DBE5F1"/>
          </w:tcPr>
          <w:p w14:paraId="03AB1FBF" w14:textId="77777777" w:rsidR="00CA7477" w:rsidRPr="00A007DE" w:rsidRDefault="00CA7477">
            <w:pPr>
              <w:rPr>
                <w:sz w:val="20"/>
                <w:szCs w:val="20"/>
              </w:rPr>
            </w:pPr>
          </w:p>
        </w:tc>
        <w:tc>
          <w:tcPr>
            <w:tcW w:w="540" w:type="dxa"/>
          </w:tcPr>
          <w:p w14:paraId="56ED9111" w14:textId="1541EDEA" w:rsidR="00CA7477" w:rsidRPr="00C71464" w:rsidRDefault="00CA7477" w:rsidP="005E223B">
            <w:pPr>
              <w:pStyle w:val="ListParagraph"/>
              <w:numPr>
                <w:ilvl w:val="0"/>
                <w:numId w:val="37"/>
              </w:numPr>
              <w:ind w:left="288"/>
              <w:jc w:val="center"/>
              <w:rPr>
                <w:rFonts w:asciiTheme="minorHAnsi" w:eastAsia="Times New Roman" w:hAnsiTheme="minorHAnsi" w:cs="Times New Roman"/>
                <w:b/>
                <w:sz w:val="19"/>
                <w:szCs w:val="19"/>
              </w:rPr>
            </w:pPr>
          </w:p>
        </w:tc>
        <w:tc>
          <w:tcPr>
            <w:tcW w:w="9810" w:type="dxa"/>
          </w:tcPr>
          <w:p w14:paraId="72E3193B" w14:textId="5A5E6BD3" w:rsidR="00CA7477" w:rsidRPr="00C71464" w:rsidRDefault="00CA7477" w:rsidP="00545B32">
            <w:pPr>
              <w:rPr>
                <w:rFonts w:asciiTheme="minorHAnsi" w:hAnsiTheme="minorHAnsi"/>
                <w:color w:val="auto"/>
                <w:sz w:val="19"/>
                <w:szCs w:val="19"/>
              </w:rPr>
            </w:pPr>
            <w:r w:rsidRPr="00C71464">
              <w:rPr>
                <w:rFonts w:asciiTheme="minorHAnsi" w:eastAsia="Times New Roman" w:hAnsiTheme="minorHAnsi" w:cs="Times New Roman"/>
                <w:b/>
                <w:color w:val="auto"/>
                <w:sz w:val="19"/>
                <w:szCs w:val="19"/>
              </w:rPr>
              <w:t xml:space="preserve">Credit When It’s Due </w:t>
            </w:r>
            <w:r w:rsidRPr="00C71464">
              <w:rPr>
                <w:rFonts w:asciiTheme="minorHAnsi" w:eastAsia="Times New Roman" w:hAnsiTheme="minorHAnsi" w:cs="Times New Roman"/>
                <w:color w:val="auto"/>
                <w:sz w:val="19"/>
                <w:szCs w:val="19"/>
              </w:rPr>
              <w:t>is a 16-state initiative aimed at increasing associate’s degree conferral for transfer students who meet associate’s degree requirements while on route to baccalaureate degree</w:t>
            </w:r>
            <w:r>
              <w:rPr>
                <w:rFonts w:asciiTheme="minorHAnsi" w:eastAsia="Times New Roman" w:hAnsiTheme="minorHAnsi" w:cs="Times New Roman"/>
                <w:color w:val="auto"/>
                <w:sz w:val="19"/>
                <w:szCs w:val="19"/>
              </w:rPr>
              <w:t xml:space="preserve"> at 4-year institution</w:t>
            </w:r>
            <w:r w:rsidRPr="00C71464">
              <w:rPr>
                <w:rFonts w:asciiTheme="minorHAnsi" w:eastAsia="Times New Roman" w:hAnsiTheme="minorHAnsi" w:cs="Times New Roman"/>
                <w:color w:val="auto"/>
                <w:sz w:val="19"/>
                <w:szCs w:val="19"/>
              </w:rPr>
              <w:t>. In addition to increasing associate’s degree attainment, CWID has impacted transfer &amp; articulation policies more broadly, improving inefficiencies in processes</w:t>
            </w:r>
            <w:r>
              <w:rPr>
                <w:rFonts w:asciiTheme="minorHAnsi" w:eastAsia="Times New Roman" w:hAnsiTheme="minorHAnsi" w:cs="Times New Roman"/>
                <w:color w:val="auto"/>
                <w:sz w:val="19"/>
                <w:szCs w:val="19"/>
              </w:rPr>
              <w:t>/</w:t>
            </w:r>
            <w:r w:rsidRPr="00C71464">
              <w:rPr>
                <w:rFonts w:asciiTheme="minorHAnsi" w:eastAsia="Times New Roman" w:hAnsiTheme="minorHAnsi" w:cs="Times New Roman"/>
                <w:color w:val="auto"/>
                <w:sz w:val="19"/>
                <w:szCs w:val="19"/>
              </w:rPr>
              <w:t>policies, removing barriers to degree completion, and strengthening technology infrastructure to support transfer and articulation.  Several reports available on website:</w:t>
            </w:r>
            <w:hyperlink r:id="rId69">
              <w:r w:rsidRPr="00C71464">
                <w:rPr>
                  <w:rFonts w:asciiTheme="minorHAnsi" w:eastAsia="Times New Roman" w:hAnsiTheme="minorHAnsi" w:cs="Times New Roman"/>
                  <w:color w:val="auto"/>
                  <w:sz w:val="19"/>
                  <w:szCs w:val="19"/>
                </w:rPr>
                <w:t xml:space="preserve"> </w:t>
              </w:r>
            </w:hyperlink>
            <w:hyperlink r:id="rId70">
              <w:r w:rsidRPr="00C71464">
                <w:rPr>
                  <w:rFonts w:asciiTheme="minorHAnsi" w:eastAsia="Times New Roman" w:hAnsiTheme="minorHAnsi" w:cs="Times New Roman"/>
                  <w:color w:val="auto"/>
                  <w:sz w:val="19"/>
                  <w:szCs w:val="19"/>
                  <w:u w:val="single"/>
                </w:rPr>
                <w:t>http://occrl.illinois.edu/projects/cwid/</w:t>
              </w:r>
            </w:hyperlink>
            <w:r w:rsidRPr="00C71464">
              <w:rPr>
                <w:rFonts w:asciiTheme="minorHAnsi" w:eastAsia="Times New Roman" w:hAnsiTheme="minorHAnsi" w:cs="Times New Roman"/>
                <w:color w:val="auto"/>
                <w:sz w:val="19"/>
                <w:szCs w:val="19"/>
              </w:rPr>
              <w:t xml:space="preserve"> </w:t>
            </w:r>
          </w:p>
        </w:tc>
        <w:tc>
          <w:tcPr>
            <w:tcW w:w="2250" w:type="dxa"/>
          </w:tcPr>
          <w:p w14:paraId="0D4BE765" w14:textId="10436DA1" w:rsidR="00CA7477" w:rsidRPr="00C71464" w:rsidRDefault="00CA7477" w:rsidP="00733060">
            <w:pPr>
              <w:jc w:val="center"/>
              <w:rPr>
                <w:rFonts w:asciiTheme="minorHAnsi" w:hAnsiTheme="minorHAnsi"/>
                <w:sz w:val="19"/>
                <w:szCs w:val="19"/>
              </w:rPr>
            </w:pPr>
            <w:r w:rsidRPr="00C71464">
              <w:rPr>
                <w:rFonts w:asciiTheme="minorHAnsi" w:eastAsia="Times New Roman" w:hAnsiTheme="minorHAnsi" w:cs="Times New Roman"/>
                <w:sz w:val="19"/>
                <w:szCs w:val="19"/>
              </w:rPr>
              <w:t>Office of Community College Research</w:t>
            </w:r>
            <w:r>
              <w:rPr>
                <w:rFonts w:asciiTheme="minorHAnsi" w:eastAsia="Times New Roman" w:hAnsiTheme="minorHAnsi" w:cs="Times New Roman"/>
                <w:sz w:val="19"/>
                <w:szCs w:val="19"/>
              </w:rPr>
              <w:t xml:space="preserve"> &amp; </w:t>
            </w:r>
            <w:r w:rsidRPr="00C71464">
              <w:rPr>
                <w:rFonts w:asciiTheme="minorHAnsi" w:eastAsia="Times New Roman" w:hAnsiTheme="minorHAnsi" w:cs="Times New Roman"/>
                <w:sz w:val="19"/>
                <w:szCs w:val="19"/>
              </w:rPr>
              <w:t xml:space="preserve"> Leadership</w:t>
            </w:r>
            <w:r>
              <w:rPr>
                <w:rFonts w:asciiTheme="minorHAnsi" w:eastAsia="Times New Roman" w:hAnsiTheme="minorHAnsi" w:cs="Times New Roman"/>
                <w:sz w:val="19"/>
                <w:szCs w:val="19"/>
              </w:rPr>
              <w:t>;</w:t>
            </w:r>
            <w:r w:rsidRPr="00C71464">
              <w:rPr>
                <w:rFonts w:asciiTheme="minorHAnsi" w:eastAsia="Times New Roman" w:hAnsiTheme="minorHAnsi" w:cs="Times New Roman"/>
                <w:sz w:val="19"/>
                <w:szCs w:val="19"/>
              </w:rPr>
              <w:t xml:space="preserve"> Gates, </w:t>
            </w:r>
            <w:r>
              <w:rPr>
                <w:rFonts w:asciiTheme="minorHAnsi" w:eastAsia="Times New Roman" w:hAnsiTheme="minorHAnsi" w:cs="Times New Roman"/>
                <w:sz w:val="19"/>
                <w:szCs w:val="19"/>
              </w:rPr>
              <w:t xml:space="preserve">Greater Texas, Helios, </w:t>
            </w:r>
            <w:r w:rsidRPr="00C71464">
              <w:rPr>
                <w:rFonts w:asciiTheme="minorHAnsi" w:eastAsia="Times New Roman" w:hAnsiTheme="minorHAnsi" w:cs="Times New Roman"/>
                <w:sz w:val="19"/>
                <w:szCs w:val="19"/>
              </w:rPr>
              <w:t>Kresge</w:t>
            </w:r>
            <w:r>
              <w:rPr>
                <w:rFonts w:asciiTheme="minorHAnsi" w:eastAsia="Times New Roman" w:hAnsiTheme="minorHAnsi" w:cs="Times New Roman"/>
                <w:sz w:val="19"/>
                <w:szCs w:val="19"/>
              </w:rPr>
              <w:t xml:space="preserve"> &amp; </w:t>
            </w:r>
            <w:r w:rsidRPr="00C71464">
              <w:rPr>
                <w:rFonts w:asciiTheme="minorHAnsi" w:eastAsia="Times New Roman" w:hAnsiTheme="minorHAnsi" w:cs="Times New Roman"/>
                <w:sz w:val="19"/>
                <w:szCs w:val="19"/>
              </w:rPr>
              <w:t>Lumina Foundations</w:t>
            </w:r>
            <w:r>
              <w:rPr>
                <w:rFonts w:asciiTheme="minorHAnsi" w:eastAsia="Times New Roman" w:hAnsiTheme="minorHAnsi" w:cs="Times New Roman"/>
                <w:sz w:val="19"/>
                <w:szCs w:val="19"/>
              </w:rPr>
              <w:t xml:space="preserve"> + USA Funds</w:t>
            </w:r>
          </w:p>
        </w:tc>
      </w:tr>
      <w:tr w:rsidR="00CA7477" w14:paraId="11258C38" w14:textId="77777777" w:rsidTr="00210234">
        <w:tc>
          <w:tcPr>
            <w:tcW w:w="1710" w:type="dxa"/>
            <w:vMerge/>
            <w:shd w:val="clear" w:color="auto" w:fill="DBE5F1"/>
          </w:tcPr>
          <w:p w14:paraId="1B395CD1" w14:textId="77777777" w:rsidR="00CA7477" w:rsidRPr="00A007DE" w:rsidRDefault="00CA7477">
            <w:pPr>
              <w:rPr>
                <w:sz w:val="20"/>
                <w:szCs w:val="20"/>
              </w:rPr>
            </w:pPr>
          </w:p>
        </w:tc>
        <w:tc>
          <w:tcPr>
            <w:tcW w:w="540" w:type="dxa"/>
          </w:tcPr>
          <w:p w14:paraId="02AA870F" w14:textId="77777777" w:rsidR="00CA7477" w:rsidRPr="00C71464" w:rsidRDefault="00CA7477" w:rsidP="005E223B">
            <w:pPr>
              <w:pStyle w:val="ListParagraph"/>
              <w:numPr>
                <w:ilvl w:val="0"/>
                <w:numId w:val="37"/>
              </w:numPr>
              <w:ind w:left="288"/>
              <w:jc w:val="center"/>
              <w:rPr>
                <w:rFonts w:asciiTheme="minorHAnsi" w:eastAsia="Times New Roman" w:hAnsiTheme="minorHAnsi" w:cs="Times New Roman"/>
                <w:b/>
                <w:sz w:val="19"/>
                <w:szCs w:val="19"/>
              </w:rPr>
            </w:pPr>
          </w:p>
        </w:tc>
        <w:tc>
          <w:tcPr>
            <w:tcW w:w="9810" w:type="dxa"/>
          </w:tcPr>
          <w:p w14:paraId="6880EEB9" w14:textId="77777777" w:rsidR="00CA7477" w:rsidRPr="008C3C63" w:rsidRDefault="00CA7477" w:rsidP="00715AED">
            <w:pPr>
              <w:rPr>
                <w:rFonts w:asciiTheme="minorHAnsi" w:eastAsia="Times New Roman" w:hAnsiTheme="minorHAnsi"/>
                <w:sz w:val="18"/>
                <w:szCs w:val="18"/>
              </w:rPr>
            </w:pPr>
            <w:r w:rsidRPr="008C3C63">
              <w:rPr>
                <w:rFonts w:asciiTheme="minorHAnsi" w:eastAsia="Times New Roman" w:hAnsiTheme="minorHAnsi"/>
                <w:sz w:val="18"/>
                <w:szCs w:val="18"/>
              </w:rPr>
              <w:t xml:space="preserve">The T.E.A.C.H. Early Childhood® National Center 10-state project worked with teams of policymakers, two- and four-year faculty and state early childhood leaders in </w:t>
            </w:r>
            <w:r w:rsidRPr="008C3C63">
              <w:rPr>
                <w:rFonts w:asciiTheme="minorHAnsi" w:eastAsia="Times New Roman" w:hAnsiTheme="minorHAnsi" w:cs="Arial"/>
                <w:sz w:val="18"/>
                <w:szCs w:val="18"/>
              </w:rPr>
              <w:t>Alabama, Arizona, Florida, Indiana, Iowa, Michigan, North Carolina, Ohio, West Virginia, and Wisconsin</w:t>
            </w:r>
            <w:r w:rsidRPr="008C3C63">
              <w:rPr>
                <w:rFonts w:asciiTheme="minorHAnsi" w:eastAsia="Times New Roman" w:hAnsiTheme="minorHAnsi"/>
                <w:sz w:val="18"/>
                <w:szCs w:val="18"/>
              </w:rPr>
              <w:t xml:space="preserve"> to improve articulation) in each state.  The Early Childhood Articulation Compendium provides a summary of this journey, guiding principles, a framework for looking at early childhood articulation, state profiles and lots of other resources </w:t>
            </w:r>
            <w:hyperlink r:id="rId71" w:history="1">
              <w:r w:rsidRPr="008C3C63">
                <w:rPr>
                  <w:rStyle w:val="Hyperlink"/>
                  <w:rFonts w:asciiTheme="minorHAnsi" w:eastAsia="Times New Roman" w:hAnsiTheme="minorHAnsi"/>
                  <w:sz w:val="18"/>
                  <w:szCs w:val="18"/>
                </w:rPr>
                <w:t>http://teachecnationalcenter.org/center-initiatives-and-resources/center-initiatives/articulation/</w:t>
              </w:r>
            </w:hyperlink>
            <w:r w:rsidRPr="008C3C63">
              <w:rPr>
                <w:rFonts w:asciiTheme="minorHAnsi" w:eastAsia="Times New Roman" w:hAnsiTheme="minorHAnsi"/>
                <w:sz w:val="18"/>
                <w:szCs w:val="18"/>
              </w:rPr>
              <w:t xml:space="preserve">  </w:t>
            </w:r>
          </w:p>
          <w:p w14:paraId="630C08B6" w14:textId="77777777" w:rsidR="00CA7477" w:rsidRPr="00C71464" w:rsidRDefault="00CA7477" w:rsidP="00545B32">
            <w:pPr>
              <w:rPr>
                <w:rFonts w:asciiTheme="minorHAnsi" w:eastAsia="Times New Roman" w:hAnsiTheme="minorHAnsi" w:cs="Times New Roman"/>
                <w:b/>
                <w:color w:val="auto"/>
                <w:sz w:val="19"/>
                <w:szCs w:val="19"/>
              </w:rPr>
            </w:pPr>
          </w:p>
        </w:tc>
        <w:tc>
          <w:tcPr>
            <w:tcW w:w="2250" w:type="dxa"/>
          </w:tcPr>
          <w:p w14:paraId="5FB72C26" w14:textId="500FE631" w:rsidR="00CA7477" w:rsidRPr="00C71464" w:rsidRDefault="00CA7477" w:rsidP="00733060">
            <w:pPr>
              <w:jc w:val="center"/>
              <w:rPr>
                <w:rFonts w:asciiTheme="minorHAnsi" w:eastAsia="Times New Roman" w:hAnsiTheme="minorHAnsi" w:cs="Times New Roman"/>
                <w:sz w:val="19"/>
                <w:szCs w:val="19"/>
              </w:rPr>
            </w:pPr>
            <w:r w:rsidRPr="008C3C63">
              <w:rPr>
                <w:rFonts w:asciiTheme="minorHAnsi" w:eastAsia="Times New Roman" w:hAnsiTheme="minorHAnsi"/>
                <w:sz w:val="18"/>
                <w:szCs w:val="18"/>
              </w:rPr>
              <w:t>W.K. Kellogg Foundation</w:t>
            </w:r>
          </w:p>
        </w:tc>
      </w:tr>
      <w:tr w:rsidR="00CA7477" w14:paraId="3DB3B26D" w14:textId="77777777" w:rsidTr="00210234">
        <w:trPr>
          <w:trHeight w:val="180"/>
        </w:trPr>
        <w:tc>
          <w:tcPr>
            <w:tcW w:w="1710" w:type="dxa"/>
            <w:vMerge w:val="restart"/>
            <w:shd w:val="clear" w:color="auto" w:fill="DBE5F1"/>
          </w:tcPr>
          <w:p w14:paraId="7459B587" w14:textId="2091DE5C" w:rsidR="00CA7477" w:rsidRPr="00A007DE" w:rsidRDefault="00CA7477" w:rsidP="00BE4556">
            <w:pPr>
              <w:rPr>
                <w:sz w:val="20"/>
                <w:szCs w:val="20"/>
              </w:rPr>
            </w:pPr>
            <w:r>
              <w:rPr>
                <w:sz w:val="20"/>
                <w:szCs w:val="20"/>
              </w:rPr>
              <w:t>Policy and technical assistance organizations</w:t>
            </w:r>
          </w:p>
        </w:tc>
        <w:tc>
          <w:tcPr>
            <w:tcW w:w="540" w:type="dxa"/>
          </w:tcPr>
          <w:p w14:paraId="3095FF18" w14:textId="77777777" w:rsidR="00CA7477" w:rsidRPr="00414250" w:rsidRDefault="00CA7477" w:rsidP="005E223B">
            <w:pPr>
              <w:pStyle w:val="ListParagraph"/>
              <w:numPr>
                <w:ilvl w:val="0"/>
                <w:numId w:val="37"/>
              </w:numPr>
              <w:ind w:left="288"/>
              <w:jc w:val="center"/>
              <w:rPr>
                <w:rFonts w:asciiTheme="minorHAnsi" w:eastAsia="Times New Roman" w:hAnsiTheme="minorHAnsi" w:cs="Times New Roman"/>
                <w:b/>
                <w:sz w:val="18"/>
                <w:szCs w:val="18"/>
              </w:rPr>
            </w:pPr>
          </w:p>
        </w:tc>
        <w:tc>
          <w:tcPr>
            <w:tcW w:w="9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6809B9" w14:textId="7969D7F0" w:rsidR="00CA7477" w:rsidRDefault="00CA7477" w:rsidP="00BC6D80">
            <w:pPr>
              <w:rPr>
                <w:rFonts w:asciiTheme="minorHAnsi" w:hAnsiTheme="minorHAnsi"/>
                <w:color w:val="auto"/>
                <w:sz w:val="19"/>
                <w:szCs w:val="19"/>
              </w:rPr>
            </w:pPr>
            <w:r w:rsidRPr="00FA7775">
              <w:rPr>
                <w:rFonts w:asciiTheme="minorHAnsi" w:eastAsia="Times New Roman" w:hAnsiTheme="minorHAnsi" w:cs="Times New Roman"/>
                <w:color w:val="auto"/>
                <w:sz w:val="19"/>
                <w:szCs w:val="19"/>
              </w:rPr>
              <w:t>Works in regions across the Southeast to help workforce development systems respond to employer needs with a particular emphasis on providing opportunities for disconnected youth.</w:t>
            </w:r>
            <w:r w:rsidRPr="00FA7775">
              <w:rPr>
                <w:rFonts w:asciiTheme="minorHAnsi" w:hAnsiTheme="minorHAnsi"/>
                <w:color w:val="auto"/>
                <w:sz w:val="19"/>
                <w:szCs w:val="19"/>
              </w:rPr>
              <w:t xml:space="preserve"> </w:t>
            </w:r>
            <w:hyperlink r:id="rId72" w:history="1">
              <w:r w:rsidRPr="00FA7775">
                <w:rPr>
                  <w:rStyle w:val="Hyperlink"/>
                  <w:rFonts w:asciiTheme="minorHAnsi" w:eastAsia="Times New Roman" w:hAnsiTheme="minorHAnsi" w:cs="Times New Roman"/>
                  <w:color w:val="auto"/>
                  <w:sz w:val="19"/>
                  <w:szCs w:val="19"/>
                </w:rPr>
                <w:t>http://www.mdcinc.org/</w:t>
              </w:r>
            </w:hyperlink>
            <w:r w:rsidRPr="00FA7775">
              <w:rPr>
                <w:rFonts w:asciiTheme="minorHAnsi" w:eastAsia="Times New Roman" w:hAnsiTheme="minorHAnsi" w:cs="Times New Roman"/>
                <w:color w:val="auto"/>
                <w:sz w:val="19"/>
                <w:szCs w:val="19"/>
              </w:rPr>
              <w:t xml:space="preserve"> </w:t>
            </w:r>
          </w:p>
        </w:tc>
        <w:tc>
          <w:tcPr>
            <w:tcW w:w="22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349B50F" w14:textId="6C8E1D2D" w:rsidR="00CA7477" w:rsidRPr="00EC2193" w:rsidRDefault="00CA7477" w:rsidP="00056EAF">
            <w:pPr>
              <w:ind w:left="-120"/>
              <w:jc w:val="center"/>
              <w:rPr>
                <w:rFonts w:asciiTheme="minorHAnsi" w:hAnsiTheme="minorHAnsi"/>
                <w:color w:val="auto"/>
                <w:sz w:val="19"/>
                <w:szCs w:val="19"/>
              </w:rPr>
            </w:pPr>
            <w:r w:rsidRPr="00FA7775">
              <w:rPr>
                <w:rFonts w:asciiTheme="minorHAnsi" w:hAnsiTheme="minorHAnsi"/>
                <w:sz w:val="19"/>
                <w:szCs w:val="19"/>
              </w:rPr>
              <w:t>MDC</w:t>
            </w:r>
          </w:p>
        </w:tc>
      </w:tr>
      <w:tr w:rsidR="00CA7477" w14:paraId="2A414D49" w14:textId="77777777" w:rsidTr="00210234">
        <w:trPr>
          <w:trHeight w:val="180"/>
        </w:trPr>
        <w:tc>
          <w:tcPr>
            <w:tcW w:w="1710" w:type="dxa"/>
            <w:vMerge/>
            <w:shd w:val="clear" w:color="auto" w:fill="DBE5F1"/>
          </w:tcPr>
          <w:p w14:paraId="39788789" w14:textId="77777777" w:rsidR="00CA7477" w:rsidRPr="00A007DE" w:rsidRDefault="00CA7477" w:rsidP="00BE4556">
            <w:pPr>
              <w:rPr>
                <w:sz w:val="20"/>
                <w:szCs w:val="20"/>
              </w:rPr>
            </w:pPr>
          </w:p>
        </w:tc>
        <w:tc>
          <w:tcPr>
            <w:tcW w:w="540" w:type="dxa"/>
          </w:tcPr>
          <w:p w14:paraId="5FF46D95" w14:textId="77777777" w:rsidR="00CA7477" w:rsidRPr="00414250" w:rsidRDefault="00CA7477" w:rsidP="005E223B">
            <w:pPr>
              <w:pStyle w:val="ListParagraph"/>
              <w:numPr>
                <w:ilvl w:val="0"/>
                <w:numId w:val="37"/>
              </w:numPr>
              <w:ind w:left="288"/>
              <w:jc w:val="center"/>
              <w:rPr>
                <w:rFonts w:asciiTheme="minorHAnsi" w:eastAsia="Times New Roman" w:hAnsiTheme="minorHAnsi" w:cs="Times New Roman"/>
                <w:b/>
                <w:sz w:val="18"/>
                <w:szCs w:val="18"/>
              </w:rPr>
            </w:pPr>
          </w:p>
        </w:tc>
        <w:tc>
          <w:tcPr>
            <w:tcW w:w="9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1CCCAA" w14:textId="23024574" w:rsidR="00CA7477" w:rsidRDefault="00CA7477" w:rsidP="00BC6D80">
            <w:pPr>
              <w:rPr>
                <w:rFonts w:asciiTheme="minorHAnsi" w:hAnsiTheme="minorHAnsi"/>
                <w:color w:val="auto"/>
                <w:sz w:val="19"/>
                <w:szCs w:val="19"/>
              </w:rPr>
            </w:pPr>
            <w:r w:rsidRPr="00FA7775">
              <w:rPr>
                <w:rFonts w:asciiTheme="minorHAnsi" w:eastAsia="Times New Roman" w:hAnsiTheme="minorHAnsi" w:cs="Times New Roman"/>
                <w:color w:val="auto"/>
                <w:sz w:val="19"/>
                <w:szCs w:val="19"/>
              </w:rPr>
              <w:t>Addresses income and racial inequality in the credential attainment by advocating for policies and practices that create accessible on­ramps to marketable secondary and postsecondary credentials for low­skill, low­income youth and adults.</w:t>
            </w:r>
            <w:r w:rsidRPr="00FA7775">
              <w:rPr>
                <w:rFonts w:asciiTheme="minorHAnsi" w:hAnsiTheme="minorHAnsi"/>
                <w:color w:val="auto"/>
                <w:sz w:val="19"/>
                <w:szCs w:val="19"/>
              </w:rPr>
              <w:t xml:space="preserve"> For publications see:  </w:t>
            </w:r>
            <w:hyperlink r:id="rId73" w:history="1">
              <w:r w:rsidRPr="00FA7775">
                <w:rPr>
                  <w:rStyle w:val="Hyperlink"/>
                  <w:rFonts w:asciiTheme="minorHAnsi" w:eastAsia="Times New Roman" w:hAnsiTheme="minorHAnsi" w:cs="Times New Roman"/>
                  <w:color w:val="auto"/>
                  <w:sz w:val="19"/>
                  <w:szCs w:val="19"/>
                </w:rPr>
                <w:t>http://www.clasp.org/issues/postsecondary/pages/credentials</w:t>
              </w:r>
            </w:hyperlink>
            <w:r w:rsidRPr="00FA7775">
              <w:rPr>
                <w:rFonts w:asciiTheme="minorHAnsi" w:eastAsia="Times New Roman" w:hAnsiTheme="minorHAnsi" w:cs="Times New Roman"/>
                <w:color w:val="auto"/>
                <w:sz w:val="19"/>
                <w:szCs w:val="19"/>
              </w:rPr>
              <w:t xml:space="preserve"> </w:t>
            </w:r>
          </w:p>
        </w:tc>
        <w:tc>
          <w:tcPr>
            <w:tcW w:w="22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EE45FF0" w14:textId="292F4198" w:rsidR="00CA7477" w:rsidRPr="00EC2193" w:rsidRDefault="00CA7477" w:rsidP="00056EAF">
            <w:pPr>
              <w:ind w:left="-120"/>
              <w:jc w:val="center"/>
              <w:rPr>
                <w:rFonts w:asciiTheme="minorHAnsi" w:hAnsiTheme="minorHAnsi"/>
                <w:color w:val="auto"/>
                <w:sz w:val="19"/>
                <w:szCs w:val="19"/>
              </w:rPr>
            </w:pPr>
            <w:r w:rsidRPr="00FA7775">
              <w:rPr>
                <w:rFonts w:asciiTheme="minorHAnsi" w:eastAsia="Times New Roman" w:hAnsiTheme="minorHAnsi" w:cs="Times New Roman"/>
                <w:sz w:val="19"/>
                <w:szCs w:val="19"/>
              </w:rPr>
              <w:t>Center for Law and Social Policy;  Gates, Lumina, Joyce &amp; Irvine Foundations</w:t>
            </w:r>
          </w:p>
        </w:tc>
      </w:tr>
      <w:tr w:rsidR="00CA7477" w14:paraId="2F2FA14F" w14:textId="77777777" w:rsidTr="00210234">
        <w:trPr>
          <w:trHeight w:val="180"/>
        </w:trPr>
        <w:tc>
          <w:tcPr>
            <w:tcW w:w="1710" w:type="dxa"/>
            <w:vMerge/>
            <w:shd w:val="clear" w:color="auto" w:fill="DBE5F1"/>
          </w:tcPr>
          <w:p w14:paraId="655A5DE7" w14:textId="77777777" w:rsidR="00CA7477" w:rsidRPr="00A007DE" w:rsidRDefault="00CA7477" w:rsidP="00BE4556">
            <w:pPr>
              <w:rPr>
                <w:sz w:val="20"/>
                <w:szCs w:val="20"/>
              </w:rPr>
            </w:pPr>
          </w:p>
        </w:tc>
        <w:tc>
          <w:tcPr>
            <w:tcW w:w="540" w:type="dxa"/>
          </w:tcPr>
          <w:p w14:paraId="56D15F07" w14:textId="77777777" w:rsidR="00CA7477" w:rsidRPr="00414250" w:rsidRDefault="00CA7477" w:rsidP="005E223B">
            <w:pPr>
              <w:pStyle w:val="ListParagraph"/>
              <w:numPr>
                <w:ilvl w:val="0"/>
                <w:numId w:val="37"/>
              </w:numPr>
              <w:ind w:left="288"/>
              <w:jc w:val="center"/>
              <w:rPr>
                <w:rFonts w:asciiTheme="minorHAnsi" w:eastAsia="Times New Roman" w:hAnsiTheme="minorHAnsi" w:cs="Times New Roman"/>
                <w:b/>
                <w:sz w:val="18"/>
                <w:szCs w:val="18"/>
              </w:rPr>
            </w:pPr>
          </w:p>
        </w:tc>
        <w:tc>
          <w:tcPr>
            <w:tcW w:w="9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376FE7" w14:textId="14F41E84" w:rsidR="00CA7477" w:rsidRDefault="00CA7477" w:rsidP="00BC6D80">
            <w:pPr>
              <w:rPr>
                <w:rFonts w:asciiTheme="minorHAnsi" w:hAnsiTheme="minorHAnsi"/>
                <w:color w:val="auto"/>
                <w:sz w:val="19"/>
                <w:szCs w:val="19"/>
              </w:rPr>
            </w:pPr>
            <w:r w:rsidRPr="00FA7775">
              <w:rPr>
                <w:rFonts w:asciiTheme="minorHAnsi" w:eastAsia="Times New Roman" w:hAnsiTheme="minorHAnsi" w:cs="Times New Roman"/>
                <w:color w:val="auto"/>
                <w:sz w:val="19"/>
                <w:szCs w:val="19"/>
              </w:rPr>
              <w:t xml:space="preserve">Conducts research to inform policy that promotes college access and success, especially for traditionally underserved students.  For publications, see: </w:t>
            </w:r>
            <w:hyperlink r:id="rId74" w:history="1">
              <w:r w:rsidRPr="00FA7775">
                <w:rPr>
                  <w:rStyle w:val="Hyperlink"/>
                  <w:rFonts w:asciiTheme="minorHAnsi" w:eastAsia="Times New Roman" w:hAnsiTheme="minorHAnsi" w:cs="Times New Roman"/>
                  <w:color w:val="auto"/>
                  <w:sz w:val="19"/>
                  <w:szCs w:val="19"/>
                </w:rPr>
                <w:t>http://www.ihep.org/research/publications</w:t>
              </w:r>
            </w:hyperlink>
            <w:r w:rsidRPr="00FA7775">
              <w:rPr>
                <w:rFonts w:asciiTheme="minorHAnsi" w:eastAsia="Times New Roman" w:hAnsiTheme="minorHAnsi" w:cs="Times New Roman"/>
                <w:color w:val="auto"/>
                <w:sz w:val="19"/>
                <w:szCs w:val="19"/>
              </w:rPr>
              <w:t xml:space="preserve"> .</w:t>
            </w:r>
          </w:p>
        </w:tc>
        <w:tc>
          <w:tcPr>
            <w:tcW w:w="22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ECCBB06" w14:textId="74436D90" w:rsidR="00CA7477" w:rsidRPr="00EC2193" w:rsidRDefault="00CA7477" w:rsidP="00056EAF">
            <w:pPr>
              <w:ind w:left="-120"/>
              <w:jc w:val="center"/>
              <w:rPr>
                <w:rFonts w:asciiTheme="minorHAnsi" w:hAnsiTheme="minorHAnsi"/>
                <w:color w:val="auto"/>
                <w:sz w:val="19"/>
                <w:szCs w:val="19"/>
              </w:rPr>
            </w:pPr>
            <w:r w:rsidRPr="00FA7775">
              <w:rPr>
                <w:rFonts w:asciiTheme="minorHAnsi" w:hAnsiTheme="minorHAnsi"/>
                <w:sz w:val="19"/>
                <w:szCs w:val="19"/>
              </w:rPr>
              <w:t xml:space="preserve">Institute for Higher Education Policy </w:t>
            </w:r>
          </w:p>
        </w:tc>
      </w:tr>
      <w:tr w:rsidR="00CA7477" w14:paraId="148FDA07" w14:textId="77777777" w:rsidTr="00210234">
        <w:trPr>
          <w:trHeight w:val="180"/>
        </w:trPr>
        <w:tc>
          <w:tcPr>
            <w:tcW w:w="1710" w:type="dxa"/>
            <w:vMerge/>
            <w:shd w:val="clear" w:color="auto" w:fill="DBE5F1"/>
          </w:tcPr>
          <w:p w14:paraId="0A57B4A1" w14:textId="77777777" w:rsidR="00CA7477" w:rsidRPr="00A007DE" w:rsidRDefault="00CA7477" w:rsidP="00BE4556">
            <w:pPr>
              <w:rPr>
                <w:sz w:val="20"/>
                <w:szCs w:val="20"/>
              </w:rPr>
            </w:pPr>
          </w:p>
        </w:tc>
        <w:tc>
          <w:tcPr>
            <w:tcW w:w="540" w:type="dxa"/>
          </w:tcPr>
          <w:p w14:paraId="61B93D5B" w14:textId="77777777" w:rsidR="00CA7477" w:rsidRPr="00414250" w:rsidRDefault="00CA7477" w:rsidP="005E223B">
            <w:pPr>
              <w:pStyle w:val="ListParagraph"/>
              <w:numPr>
                <w:ilvl w:val="0"/>
                <w:numId w:val="37"/>
              </w:numPr>
              <w:ind w:left="288"/>
              <w:jc w:val="center"/>
              <w:rPr>
                <w:rFonts w:asciiTheme="minorHAnsi" w:eastAsia="Times New Roman" w:hAnsiTheme="minorHAnsi" w:cs="Times New Roman"/>
                <w:b/>
                <w:sz w:val="18"/>
                <w:szCs w:val="18"/>
              </w:rPr>
            </w:pPr>
          </w:p>
        </w:tc>
        <w:tc>
          <w:tcPr>
            <w:tcW w:w="9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73C718" w14:textId="59CF35AE" w:rsidR="00CA7477" w:rsidRDefault="00CA7477" w:rsidP="00BC6D80">
            <w:pPr>
              <w:rPr>
                <w:rFonts w:asciiTheme="minorHAnsi" w:hAnsiTheme="minorHAnsi"/>
                <w:color w:val="auto"/>
                <w:sz w:val="19"/>
                <w:szCs w:val="19"/>
              </w:rPr>
            </w:pPr>
            <w:r w:rsidRPr="00FA7775">
              <w:rPr>
                <w:rFonts w:asciiTheme="minorHAnsi" w:eastAsia="Times New Roman" w:hAnsiTheme="minorHAnsi" w:cs="Times New Roman"/>
                <w:color w:val="auto"/>
                <w:sz w:val="19"/>
                <w:szCs w:val="19"/>
              </w:rPr>
              <w:t xml:space="preserve">Goodwill’s </w:t>
            </w:r>
            <w:r w:rsidRPr="00FA7775">
              <w:rPr>
                <w:rFonts w:asciiTheme="minorHAnsi" w:eastAsia="Times New Roman" w:hAnsiTheme="minorHAnsi" w:cs="Times New Roman"/>
                <w:b/>
                <w:color w:val="auto"/>
                <w:sz w:val="19"/>
                <w:szCs w:val="19"/>
              </w:rPr>
              <w:t xml:space="preserve">Excel Center </w:t>
            </w:r>
            <w:r w:rsidRPr="00FA7775">
              <w:rPr>
                <w:rFonts w:asciiTheme="minorHAnsi" w:eastAsia="Times New Roman" w:hAnsiTheme="minorHAnsi" w:cs="Times New Roman"/>
                <w:color w:val="auto"/>
                <w:sz w:val="19"/>
                <w:szCs w:val="19"/>
              </w:rPr>
              <w:t xml:space="preserve">adult high schools co-enroll students in community colleges in Indianapolis, IN, Austin TX, Memphis TN and Greater Washington DC (planned). The Goodwill </w:t>
            </w:r>
            <w:r w:rsidRPr="00FA7775">
              <w:rPr>
                <w:rFonts w:asciiTheme="minorHAnsi" w:eastAsia="Times New Roman" w:hAnsiTheme="minorHAnsi" w:cs="Times New Roman"/>
                <w:b/>
                <w:color w:val="auto"/>
                <w:sz w:val="19"/>
                <w:szCs w:val="19"/>
              </w:rPr>
              <w:t>Access Center</w:t>
            </w:r>
            <w:r w:rsidRPr="00FA7775">
              <w:rPr>
                <w:rFonts w:asciiTheme="minorHAnsi" w:eastAsia="Times New Roman" w:hAnsiTheme="minorHAnsi" w:cs="Times New Roman"/>
                <w:color w:val="auto"/>
                <w:sz w:val="19"/>
                <w:szCs w:val="19"/>
              </w:rPr>
              <w:t xml:space="preserve"> in Winston-Salem NC partners with Forsyth Community College to award high school diplomas and college credit. The </w:t>
            </w:r>
            <w:r w:rsidRPr="00FA7775">
              <w:rPr>
                <w:rFonts w:asciiTheme="minorHAnsi" w:eastAsia="Times New Roman" w:hAnsiTheme="minorHAnsi" w:cs="Times New Roman"/>
                <w:b/>
                <w:color w:val="auto"/>
                <w:sz w:val="19"/>
                <w:szCs w:val="19"/>
              </w:rPr>
              <w:t>college readiness curriculum, College 101</w:t>
            </w:r>
            <w:r w:rsidRPr="00FA7775">
              <w:rPr>
                <w:rFonts w:asciiTheme="minorHAnsi" w:eastAsia="Times New Roman" w:hAnsiTheme="minorHAnsi" w:cs="Times New Roman"/>
                <w:color w:val="auto"/>
                <w:sz w:val="19"/>
                <w:szCs w:val="19"/>
              </w:rPr>
              <w:t xml:space="preserve">, developed by Seattle Goodwill Industries, will soon be available to all Goodwills. </w:t>
            </w:r>
            <w:r w:rsidRPr="00FA7775">
              <w:rPr>
                <w:rFonts w:asciiTheme="minorHAnsi" w:eastAsia="Times New Roman" w:hAnsiTheme="minorHAnsi" w:cs="Times New Roman"/>
                <w:b/>
                <w:color w:val="auto"/>
                <w:sz w:val="19"/>
                <w:szCs w:val="19"/>
              </w:rPr>
              <w:t>GCF LearnFree</w:t>
            </w:r>
            <w:r w:rsidRPr="00FA7775">
              <w:rPr>
                <w:rFonts w:asciiTheme="minorHAnsi" w:eastAsia="Times New Roman" w:hAnsiTheme="minorHAnsi" w:cs="Times New Roman"/>
                <w:color w:val="auto"/>
                <w:sz w:val="19"/>
                <w:szCs w:val="19"/>
              </w:rPr>
              <w:t xml:space="preserve"> and </w:t>
            </w:r>
            <w:r w:rsidRPr="00FA7775">
              <w:rPr>
                <w:rFonts w:asciiTheme="minorHAnsi" w:eastAsia="Times New Roman" w:hAnsiTheme="minorHAnsi" w:cs="Times New Roman"/>
                <w:b/>
                <w:color w:val="auto"/>
                <w:sz w:val="19"/>
                <w:szCs w:val="19"/>
              </w:rPr>
              <w:t>GCF ApprendeLibre</w:t>
            </w:r>
            <w:r w:rsidRPr="00FA7775">
              <w:rPr>
                <w:rFonts w:asciiTheme="minorHAnsi" w:eastAsia="Times New Roman" w:hAnsiTheme="minorHAnsi" w:cs="Times New Roman"/>
                <w:color w:val="auto"/>
                <w:sz w:val="19"/>
                <w:szCs w:val="19"/>
              </w:rPr>
              <w:t>, supported by Goodwill Industries of Eastern North Carolina (Durham) and available worldwide, provide free online education, including instructor-supported courses eligible for CEUs. All break down the structural barriers to postsecondary education for nontraditional and working learners.</w:t>
            </w:r>
          </w:p>
        </w:tc>
        <w:tc>
          <w:tcPr>
            <w:tcW w:w="22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6A9A0EF" w14:textId="7D4B4486" w:rsidR="00CA7477" w:rsidRPr="00EC2193" w:rsidRDefault="00CA7477" w:rsidP="00056EAF">
            <w:pPr>
              <w:ind w:left="-120"/>
              <w:jc w:val="center"/>
              <w:rPr>
                <w:rFonts w:asciiTheme="minorHAnsi" w:hAnsiTheme="minorHAnsi"/>
                <w:color w:val="auto"/>
                <w:sz w:val="19"/>
                <w:szCs w:val="19"/>
              </w:rPr>
            </w:pPr>
            <w:r w:rsidRPr="00FA7775">
              <w:rPr>
                <w:rFonts w:asciiTheme="minorHAnsi" w:eastAsia="Times New Roman" w:hAnsiTheme="minorHAnsi" w:cs="Times New Roman"/>
                <w:sz w:val="19"/>
                <w:szCs w:val="19"/>
              </w:rPr>
              <w:t>Goodwill</w:t>
            </w:r>
          </w:p>
        </w:tc>
      </w:tr>
      <w:tr w:rsidR="00CA7477" w14:paraId="26E03A0D" w14:textId="77777777" w:rsidTr="00210234">
        <w:trPr>
          <w:trHeight w:val="180"/>
        </w:trPr>
        <w:tc>
          <w:tcPr>
            <w:tcW w:w="1710" w:type="dxa"/>
            <w:vMerge/>
            <w:shd w:val="clear" w:color="auto" w:fill="DBE5F1"/>
          </w:tcPr>
          <w:p w14:paraId="62C1E014" w14:textId="77777777" w:rsidR="00CA7477" w:rsidRPr="00A007DE" w:rsidRDefault="00CA7477" w:rsidP="00BE4556">
            <w:pPr>
              <w:rPr>
                <w:sz w:val="20"/>
                <w:szCs w:val="20"/>
              </w:rPr>
            </w:pPr>
          </w:p>
        </w:tc>
        <w:tc>
          <w:tcPr>
            <w:tcW w:w="540" w:type="dxa"/>
          </w:tcPr>
          <w:p w14:paraId="42BE3C67" w14:textId="77777777" w:rsidR="00CA7477" w:rsidRPr="00414250" w:rsidRDefault="00CA7477" w:rsidP="005E223B">
            <w:pPr>
              <w:pStyle w:val="ListParagraph"/>
              <w:numPr>
                <w:ilvl w:val="0"/>
                <w:numId w:val="37"/>
              </w:numPr>
              <w:ind w:left="288"/>
              <w:jc w:val="center"/>
              <w:rPr>
                <w:rFonts w:asciiTheme="minorHAnsi" w:eastAsia="Times New Roman" w:hAnsiTheme="minorHAnsi" w:cs="Times New Roman"/>
                <w:b/>
                <w:sz w:val="18"/>
                <w:szCs w:val="18"/>
              </w:rPr>
            </w:pPr>
          </w:p>
        </w:tc>
        <w:tc>
          <w:tcPr>
            <w:tcW w:w="9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200CCB" w14:textId="4B90D399" w:rsidR="00CA7477" w:rsidRDefault="00CA7477" w:rsidP="00BC6D80">
            <w:pPr>
              <w:rPr>
                <w:rFonts w:asciiTheme="minorHAnsi" w:hAnsiTheme="minorHAnsi"/>
                <w:color w:val="auto"/>
                <w:sz w:val="19"/>
                <w:szCs w:val="19"/>
              </w:rPr>
            </w:pPr>
            <w:r w:rsidRPr="00FA7775">
              <w:rPr>
                <w:rFonts w:asciiTheme="minorHAnsi" w:eastAsia="Times New Roman" w:hAnsiTheme="minorHAnsi" w:cs="Times New Roman"/>
                <w:color w:val="auto"/>
                <w:sz w:val="19"/>
                <w:szCs w:val="19"/>
              </w:rPr>
              <w:t>Operates middle skills in retail program that is using competency based assessments to customize training for students and communicate abilities of job applicants to employers.</w:t>
            </w:r>
          </w:p>
        </w:tc>
        <w:tc>
          <w:tcPr>
            <w:tcW w:w="22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3978543" w14:textId="0E126548" w:rsidR="00CA7477" w:rsidRPr="00EC2193" w:rsidRDefault="00CA7477" w:rsidP="00056EAF">
            <w:pPr>
              <w:ind w:left="-120"/>
              <w:jc w:val="center"/>
              <w:rPr>
                <w:rFonts w:asciiTheme="minorHAnsi" w:hAnsiTheme="minorHAnsi"/>
                <w:color w:val="auto"/>
                <w:sz w:val="19"/>
                <w:szCs w:val="19"/>
              </w:rPr>
            </w:pPr>
            <w:r w:rsidRPr="00FA7775">
              <w:rPr>
                <w:rFonts w:asciiTheme="minorHAnsi" w:eastAsia="Times New Roman" w:hAnsiTheme="minorHAnsi" w:cs="Times New Roman"/>
                <w:sz w:val="19"/>
                <w:szCs w:val="19"/>
              </w:rPr>
              <w:t>Goodwill Industries,  Walmart Foundation</w:t>
            </w:r>
          </w:p>
        </w:tc>
      </w:tr>
      <w:tr w:rsidR="00CA7477" w14:paraId="2016C351" w14:textId="77777777" w:rsidTr="00210234">
        <w:trPr>
          <w:trHeight w:val="180"/>
        </w:trPr>
        <w:tc>
          <w:tcPr>
            <w:tcW w:w="1710" w:type="dxa"/>
            <w:vMerge/>
            <w:shd w:val="clear" w:color="auto" w:fill="DBE5F1"/>
          </w:tcPr>
          <w:p w14:paraId="3AA86DCF" w14:textId="77777777" w:rsidR="00CA7477" w:rsidRPr="00A007DE" w:rsidRDefault="00CA7477" w:rsidP="00BE4556">
            <w:pPr>
              <w:rPr>
                <w:sz w:val="20"/>
                <w:szCs w:val="20"/>
              </w:rPr>
            </w:pPr>
          </w:p>
        </w:tc>
        <w:tc>
          <w:tcPr>
            <w:tcW w:w="540" w:type="dxa"/>
          </w:tcPr>
          <w:p w14:paraId="6A896035" w14:textId="77777777" w:rsidR="00CA7477" w:rsidRPr="00414250" w:rsidRDefault="00CA7477" w:rsidP="005E223B">
            <w:pPr>
              <w:pStyle w:val="ListParagraph"/>
              <w:numPr>
                <w:ilvl w:val="0"/>
                <w:numId w:val="37"/>
              </w:numPr>
              <w:ind w:left="288"/>
              <w:jc w:val="center"/>
              <w:rPr>
                <w:rFonts w:asciiTheme="minorHAnsi" w:eastAsia="Times New Roman" w:hAnsiTheme="minorHAnsi" w:cs="Times New Roman"/>
                <w:b/>
                <w:sz w:val="18"/>
                <w:szCs w:val="18"/>
              </w:rPr>
            </w:pPr>
          </w:p>
        </w:tc>
        <w:tc>
          <w:tcPr>
            <w:tcW w:w="9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3CD26E" w14:textId="72C446AE" w:rsidR="00CA7477" w:rsidRDefault="00CA7477" w:rsidP="00BC6D80">
            <w:pPr>
              <w:rPr>
                <w:rFonts w:asciiTheme="minorHAnsi" w:hAnsiTheme="minorHAnsi"/>
                <w:color w:val="auto"/>
                <w:sz w:val="19"/>
                <w:szCs w:val="19"/>
              </w:rPr>
            </w:pPr>
            <w:r w:rsidRPr="00FA7775">
              <w:rPr>
                <w:rFonts w:asciiTheme="minorHAnsi" w:hAnsiTheme="minorHAnsi"/>
                <w:color w:val="auto"/>
                <w:sz w:val="19"/>
                <w:szCs w:val="19"/>
              </w:rPr>
              <w:t>Works closely with academic partners, corporate sponsors, and companies to provide career and educational opportunities to underserved high school graduates and veterans. It</w:t>
            </w:r>
            <w:r w:rsidRPr="00FA7775">
              <w:rPr>
                <w:rFonts w:asciiTheme="minorHAnsi" w:eastAsia="Times New Roman" w:hAnsiTheme="minorHAnsi" w:cs="Times New Roman"/>
                <w:color w:val="auto"/>
                <w:sz w:val="19"/>
                <w:szCs w:val="19"/>
              </w:rPr>
              <w:t xml:space="preserve"> identifies skill sets in demand, recruits students and designs selective certification programs that are specifically designed for corporations’ needs.</w:t>
            </w:r>
          </w:p>
        </w:tc>
        <w:tc>
          <w:tcPr>
            <w:tcW w:w="22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F61A57F" w14:textId="6ED88502" w:rsidR="00CA7477" w:rsidRPr="00EC2193" w:rsidRDefault="00CA7477" w:rsidP="00056EAF">
            <w:pPr>
              <w:ind w:left="-120"/>
              <w:jc w:val="center"/>
              <w:rPr>
                <w:rFonts w:asciiTheme="minorHAnsi" w:hAnsiTheme="minorHAnsi"/>
                <w:color w:val="auto"/>
                <w:sz w:val="19"/>
                <w:szCs w:val="19"/>
              </w:rPr>
            </w:pPr>
            <w:r w:rsidRPr="00FA7775">
              <w:rPr>
                <w:rFonts w:asciiTheme="minorHAnsi" w:eastAsia="Times New Roman" w:hAnsiTheme="minorHAnsi" w:cs="Times New Roman"/>
                <w:color w:val="auto"/>
                <w:sz w:val="19"/>
                <w:szCs w:val="19"/>
              </w:rPr>
              <w:t>Workforce Opportunity Services</w:t>
            </w:r>
          </w:p>
        </w:tc>
      </w:tr>
      <w:tr w:rsidR="00CA7477" w14:paraId="1653D963" w14:textId="77777777" w:rsidTr="00210234">
        <w:trPr>
          <w:trHeight w:val="180"/>
        </w:trPr>
        <w:tc>
          <w:tcPr>
            <w:tcW w:w="1710" w:type="dxa"/>
            <w:vMerge/>
            <w:shd w:val="clear" w:color="auto" w:fill="DBE5F1"/>
          </w:tcPr>
          <w:p w14:paraId="19DC3F02" w14:textId="77777777" w:rsidR="00CA7477" w:rsidRPr="00A007DE" w:rsidRDefault="00CA7477" w:rsidP="00BE4556">
            <w:pPr>
              <w:rPr>
                <w:sz w:val="20"/>
                <w:szCs w:val="20"/>
              </w:rPr>
            </w:pPr>
          </w:p>
        </w:tc>
        <w:tc>
          <w:tcPr>
            <w:tcW w:w="540" w:type="dxa"/>
          </w:tcPr>
          <w:p w14:paraId="3169E261" w14:textId="77777777" w:rsidR="00CA7477" w:rsidRPr="00414250" w:rsidRDefault="00CA7477" w:rsidP="005E223B">
            <w:pPr>
              <w:pStyle w:val="ListParagraph"/>
              <w:numPr>
                <w:ilvl w:val="0"/>
                <w:numId w:val="37"/>
              </w:numPr>
              <w:ind w:left="288"/>
              <w:jc w:val="center"/>
              <w:rPr>
                <w:rFonts w:asciiTheme="minorHAnsi" w:eastAsia="Times New Roman" w:hAnsiTheme="minorHAnsi" w:cs="Times New Roman"/>
                <w:b/>
                <w:sz w:val="18"/>
                <w:szCs w:val="18"/>
              </w:rPr>
            </w:pPr>
          </w:p>
        </w:tc>
        <w:tc>
          <w:tcPr>
            <w:tcW w:w="9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1E74FC" w14:textId="03738B0D" w:rsidR="00CA7477" w:rsidRDefault="00CA7477" w:rsidP="00BC6D80">
            <w:pPr>
              <w:rPr>
                <w:rFonts w:asciiTheme="minorHAnsi" w:hAnsiTheme="minorHAnsi"/>
                <w:color w:val="auto"/>
                <w:sz w:val="19"/>
                <w:szCs w:val="19"/>
              </w:rPr>
            </w:pPr>
            <w:r w:rsidRPr="00FA7775">
              <w:rPr>
                <w:rFonts w:asciiTheme="minorHAnsi" w:eastAsia="Times New Roman" w:hAnsiTheme="minorHAnsi" w:cs="Times New Roman"/>
                <w:color w:val="auto"/>
                <w:sz w:val="19"/>
                <w:szCs w:val="19"/>
              </w:rPr>
              <w:t xml:space="preserve">Implemented outcomes-focused continuous improvement process called </w:t>
            </w:r>
            <w:r w:rsidRPr="00FA7775">
              <w:rPr>
                <w:rFonts w:asciiTheme="minorHAnsi" w:eastAsia="Times New Roman" w:hAnsiTheme="minorHAnsi" w:cs="Times New Roman"/>
                <w:b/>
                <w:color w:val="auto"/>
                <w:sz w:val="19"/>
                <w:szCs w:val="19"/>
              </w:rPr>
              <w:t>Pathways to Results (PTR</w:t>
            </w:r>
            <w:r w:rsidRPr="00FA7775">
              <w:rPr>
                <w:rFonts w:asciiTheme="minorHAnsi" w:eastAsia="Times New Roman" w:hAnsiTheme="minorHAnsi" w:cs="Times New Roman"/>
                <w:color w:val="auto"/>
                <w:sz w:val="19"/>
                <w:szCs w:val="19"/>
              </w:rPr>
              <w:t xml:space="preserve">) that focuses on equity and outcomes assessment rooted in analysis of data. Practitioner teams identify equity gaps by analyzing student-level outcomes data that are disaggregated by race, gender, income, and other characteristics that matter to college success and then use these results to test new processes that may boost sub-group success.  PTR has been implemented in 46 of the 48 community colleges in Illinois, with over 80 projects completed or in process to improve career pathways and programs of study. PTR has also been extended to other community colleges in the United States that are recipients of Trade Adjustment Act Community College and Career Training Act (TAACCCT) grants and in the year ahead, will be extended to further support localized implementation, scaling, and impact evaluation. </w:t>
            </w:r>
            <w:hyperlink r:id="rId75">
              <w:r w:rsidRPr="00FA7775">
                <w:rPr>
                  <w:rFonts w:asciiTheme="minorHAnsi" w:eastAsia="Times New Roman" w:hAnsiTheme="minorHAnsi" w:cs="Times New Roman"/>
                  <w:color w:val="auto"/>
                  <w:sz w:val="19"/>
                  <w:szCs w:val="19"/>
                  <w:u w:val="single"/>
                </w:rPr>
                <w:t>http://occrl.illinois.edu/projects/pathways/</w:t>
              </w:r>
            </w:hyperlink>
            <w:r w:rsidRPr="00FA7775">
              <w:rPr>
                <w:rFonts w:asciiTheme="minorHAnsi" w:eastAsia="Times New Roman" w:hAnsiTheme="minorHAnsi" w:cs="Times New Roman"/>
                <w:color w:val="auto"/>
                <w:sz w:val="19"/>
                <w:szCs w:val="19"/>
              </w:rPr>
              <w:t>.</w:t>
            </w:r>
          </w:p>
        </w:tc>
        <w:tc>
          <w:tcPr>
            <w:tcW w:w="22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2AA25CD" w14:textId="77777777" w:rsidR="00CA7477" w:rsidRPr="00FA7775" w:rsidRDefault="00CA7477" w:rsidP="00CA7477">
            <w:pPr>
              <w:jc w:val="center"/>
              <w:rPr>
                <w:rFonts w:asciiTheme="minorHAnsi" w:hAnsiTheme="minorHAnsi"/>
                <w:sz w:val="19"/>
                <w:szCs w:val="19"/>
              </w:rPr>
            </w:pPr>
            <w:r w:rsidRPr="00FA7775">
              <w:rPr>
                <w:rFonts w:asciiTheme="minorHAnsi" w:eastAsia="Times New Roman" w:hAnsiTheme="minorHAnsi" w:cs="Times New Roman"/>
                <w:sz w:val="19"/>
                <w:szCs w:val="19"/>
              </w:rPr>
              <w:t xml:space="preserve">Illinois Community College Board, </w:t>
            </w:r>
            <w:r w:rsidRPr="00FA7775">
              <w:rPr>
                <w:rFonts w:asciiTheme="minorHAnsi" w:eastAsia="Times New Roman" w:hAnsiTheme="minorHAnsi" w:cs="Times New Roman"/>
                <w:color w:val="221E1F"/>
                <w:sz w:val="19"/>
                <w:szCs w:val="19"/>
              </w:rPr>
              <w:t xml:space="preserve">Office of Community College Research </w:t>
            </w:r>
            <w:r>
              <w:rPr>
                <w:rFonts w:asciiTheme="minorHAnsi" w:eastAsia="Times New Roman" w:hAnsiTheme="minorHAnsi" w:cs="Times New Roman"/>
                <w:color w:val="221E1F"/>
                <w:sz w:val="19"/>
                <w:szCs w:val="19"/>
              </w:rPr>
              <w:t xml:space="preserve">&amp; </w:t>
            </w:r>
            <w:r w:rsidRPr="00FA7775">
              <w:rPr>
                <w:rFonts w:asciiTheme="minorHAnsi" w:eastAsia="Times New Roman" w:hAnsiTheme="minorHAnsi" w:cs="Times New Roman"/>
                <w:color w:val="221E1F"/>
                <w:sz w:val="19"/>
                <w:szCs w:val="19"/>
              </w:rPr>
              <w:t xml:space="preserve">Leadership, </w:t>
            </w:r>
            <w:r w:rsidRPr="00FA7775">
              <w:rPr>
                <w:rFonts w:asciiTheme="minorHAnsi" w:eastAsia="Times New Roman" w:hAnsiTheme="minorHAnsi" w:cs="Times New Roman"/>
                <w:sz w:val="19"/>
                <w:szCs w:val="19"/>
              </w:rPr>
              <w:t>Federal (TAACCCT)</w:t>
            </w:r>
          </w:p>
          <w:p w14:paraId="197AC7E8" w14:textId="77777777" w:rsidR="00CA7477" w:rsidRPr="00EC2193" w:rsidRDefault="00CA7477" w:rsidP="00056EAF">
            <w:pPr>
              <w:ind w:left="-120"/>
              <w:jc w:val="center"/>
              <w:rPr>
                <w:rFonts w:asciiTheme="minorHAnsi" w:hAnsiTheme="minorHAnsi"/>
                <w:color w:val="auto"/>
                <w:sz w:val="19"/>
                <w:szCs w:val="19"/>
              </w:rPr>
            </w:pPr>
          </w:p>
        </w:tc>
      </w:tr>
      <w:tr w:rsidR="00CA7477" w14:paraId="3FC8D4FA" w14:textId="77777777" w:rsidTr="00210234">
        <w:trPr>
          <w:trHeight w:val="180"/>
        </w:trPr>
        <w:tc>
          <w:tcPr>
            <w:tcW w:w="1710" w:type="dxa"/>
            <w:vMerge/>
            <w:shd w:val="clear" w:color="auto" w:fill="DBE5F1"/>
          </w:tcPr>
          <w:p w14:paraId="166CA85B" w14:textId="77777777" w:rsidR="00CA7477" w:rsidRPr="00A007DE" w:rsidRDefault="00CA7477" w:rsidP="00BE4556">
            <w:pPr>
              <w:rPr>
                <w:sz w:val="20"/>
                <w:szCs w:val="20"/>
              </w:rPr>
            </w:pPr>
          </w:p>
        </w:tc>
        <w:tc>
          <w:tcPr>
            <w:tcW w:w="540" w:type="dxa"/>
          </w:tcPr>
          <w:p w14:paraId="61835BD6" w14:textId="77777777" w:rsidR="00CA7477" w:rsidRPr="00414250" w:rsidRDefault="00CA7477" w:rsidP="005E223B">
            <w:pPr>
              <w:pStyle w:val="ListParagraph"/>
              <w:numPr>
                <w:ilvl w:val="0"/>
                <w:numId w:val="37"/>
              </w:numPr>
              <w:ind w:left="288"/>
              <w:jc w:val="center"/>
              <w:rPr>
                <w:rFonts w:asciiTheme="minorHAnsi" w:eastAsia="Times New Roman" w:hAnsiTheme="minorHAnsi" w:cs="Times New Roman"/>
                <w:b/>
                <w:sz w:val="18"/>
                <w:szCs w:val="18"/>
              </w:rPr>
            </w:pPr>
          </w:p>
        </w:tc>
        <w:tc>
          <w:tcPr>
            <w:tcW w:w="9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67041A" w14:textId="5478E62A" w:rsidR="00CA7477" w:rsidRDefault="00CA7477" w:rsidP="00BC6D80">
            <w:pPr>
              <w:rPr>
                <w:rFonts w:asciiTheme="minorHAnsi" w:hAnsiTheme="minorHAnsi"/>
                <w:color w:val="auto"/>
                <w:sz w:val="19"/>
                <w:szCs w:val="19"/>
              </w:rPr>
            </w:pPr>
            <w:r w:rsidRPr="00C70C84">
              <w:rPr>
                <w:rFonts w:asciiTheme="minorHAnsi" w:eastAsia="Times New Roman" w:hAnsiTheme="minorHAnsi" w:cs="Times New Roman"/>
                <w:color w:val="auto"/>
                <w:sz w:val="19"/>
                <w:szCs w:val="19"/>
              </w:rPr>
              <w:t xml:space="preserve">Working with Hispanic community groups to develop Spanish language material for college and career counseling. Spanish language tools to help Latino parents and students to understand college and career choices. Hispanic Initiative to launch on CEW website in mid-September: </w:t>
            </w:r>
            <w:hyperlink r:id="rId76" w:history="1">
              <w:r w:rsidRPr="00C70C84">
                <w:rPr>
                  <w:rStyle w:val="Hyperlink"/>
                  <w:rFonts w:asciiTheme="minorHAnsi" w:eastAsia="Times New Roman" w:hAnsiTheme="minorHAnsi" w:cs="Times New Roman"/>
                  <w:color w:val="auto"/>
                  <w:sz w:val="19"/>
                  <w:szCs w:val="19"/>
                </w:rPr>
                <w:t>https://cew.georgetown.edu/</w:t>
              </w:r>
            </w:hyperlink>
            <w:r w:rsidRPr="00C70C84">
              <w:rPr>
                <w:rFonts w:asciiTheme="minorHAnsi" w:eastAsia="Times New Roman" w:hAnsiTheme="minorHAnsi" w:cs="Times New Roman"/>
                <w:color w:val="auto"/>
                <w:sz w:val="19"/>
                <w:szCs w:val="19"/>
              </w:rPr>
              <w:t xml:space="preserve"> </w:t>
            </w:r>
          </w:p>
        </w:tc>
        <w:tc>
          <w:tcPr>
            <w:tcW w:w="22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6150761" w14:textId="3D22B80C" w:rsidR="00CA7477" w:rsidRPr="00EC2193" w:rsidRDefault="00CA7477" w:rsidP="00056EAF">
            <w:pPr>
              <w:ind w:left="-120"/>
              <w:jc w:val="center"/>
              <w:rPr>
                <w:rFonts w:asciiTheme="minorHAnsi" w:hAnsiTheme="minorHAnsi"/>
                <w:color w:val="auto"/>
                <w:sz w:val="19"/>
                <w:szCs w:val="19"/>
              </w:rPr>
            </w:pPr>
            <w:r w:rsidRPr="00C70C84">
              <w:rPr>
                <w:rFonts w:asciiTheme="minorHAnsi" w:eastAsia="Times New Roman" w:hAnsiTheme="minorHAnsi" w:cs="Times New Roman"/>
                <w:sz w:val="19"/>
                <w:szCs w:val="19"/>
              </w:rPr>
              <w:t>Georgetown University Center on Education &amp; the Workforce,  Gates, Lumina &amp; Joyce Foundations</w:t>
            </w:r>
          </w:p>
        </w:tc>
      </w:tr>
      <w:tr w:rsidR="00CA7477" w14:paraId="3A382416" w14:textId="77777777" w:rsidTr="00210234">
        <w:trPr>
          <w:trHeight w:val="180"/>
        </w:trPr>
        <w:tc>
          <w:tcPr>
            <w:tcW w:w="1710" w:type="dxa"/>
            <w:vMerge/>
            <w:shd w:val="clear" w:color="auto" w:fill="DBE5F1"/>
          </w:tcPr>
          <w:p w14:paraId="21005FBC" w14:textId="77777777" w:rsidR="00CA7477" w:rsidRPr="00A007DE" w:rsidRDefault="00CA7477" w:rsidP="00BE4556">
            <w:pPr>
              <w:rPr>
                <w:sz w:val="20"/>
                <w:szCs w:val="20"/>
              </w:rPr>
            </w:pPr>
          </w:p>
        </w:tc>
        <w:tc>
          <w:tcPr>
            <w:tcW w:w="540" w:type="dxa"/>
          </w:tcPr>
          <w:p w14:paraId="26657E59" w14:textId="77777777" w:rsidR="00CA7477" w:rsidRPr="00414250" w:rsidRDefault="00CA7477" w:rsidP="005E223B">
            <w:pPr>
              <w:pStyle w:val="ListParagraph"/>
              <w:numPr>
                <w:ilvl w:val="0"/>
                <w:numId w:val="37"/>
              </w:numPr>
              <w:ind w:left="288"/>
              <w:jc w:val="center"/>
              <w:rPr>
                <w:rFonts w:asciiTheme="minorHAnsi" w:eastAsia="Times New Roman" w:hAnsiTheme="minorHAnsi" w:cs="Times New Roman"/>
                <w:b/>
                <w:sz w:val="18"/>
                <w:szCs w:val="18"/>
              </w:rPr>
            </w:pPr>
          </w:p>
        </w:tc>
        <w:tc>
          <w:tcPr>
            <w:tcW w:w="9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FB6638" w14:textId="77777777" w:rsidR="00CA7477" w:rsidRPr="00C70C84" w:rsidRDefault="00CA7477" w:rsidP="00CA7477">
            <w:pPr>
              <w:rPr>
                <w:rFonts w:eastAsia="Times New Roman" w:cs="Times New Roman"/>
                <w:color w:val="auto"/>
                <w:sz w:val="19"/>
                <w:szCs w:val="19"/>
              </w:rPr>
            </w:pPr>
            <w:r w:rsidRPr="00C70C84">
              <w:rPr>
                <w:rFonts w:eastAsia="Times New Roman" w:cs="Times New Roman"/>
                <w:b/>
                <w:color w:val="auto"/>
                <w:sz w:val="19"/>
                <w:szCs w:val="19"/>
              </w:rPr>
              <w:t>Working Students Success Network</w:t>
            </w:r>
            <w:r w:rsidRPr="00C70C84">
              <w:rPr>
                <w:rFonts w:eastAsia="Times New Roman" w:cs="Times New Roman"/>
                <w:color w:val="auto"/>
                <w:sz w:val="19"/>
                <w:szCs w:val="19"/>
              </w:rPr>
              <w:t xml:space="preserve">(in 19 community colleges in WA, CA, AR, and VA) intentionally integrates education and training, work supports, and financial literacy and coaching to prepare low income students, including those with dependent families, for credentials paying family sustaining wages.   </w:t>
            </w:r>
          </w:p>
          <w:p w14:paraId="1EACE803" w14:textId="77777777" w:rsidR="00CA7477" w:rsidRDefault="00CA7477" w:rsidP="00BC6D80">
            <w:pPr>
              <w:rPr>
                <w:rFonts w:asciiTheme="minorHAnsi" w:hAnsiTheme="minorHAnsi"/>
                <w:color w:val="auto"/>
                <w:sz w:val="19"/>
                <w:szCs w:val="19"/>
              </w:rPr>
            </w:pPr>
          </w:p>
        </w:tc>
        <w:tc>
          <w:tcPr>
            <w:tcW w:w="22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A4D8019" w14:textId="028D6596" w:rsidR="00CA7477" w:rsidRPr="00EC2193" w:rsidRDefault="00CA7477" w:rsidP="00056EAF">
            <w:pPr>
              <w:ind w:left="-120"/>
              <w:jc w:val="center"/>
              <w:rPr>
                <w:rFonts w:asciiTheme="minorHAnsi" w:hAnsiTheme="minorHAnsi"/>
                <w:color w:val="auto"/>
                <w:sz w:val="19"/>
                <w:szCs w:val="19"/>
              </w:rPr>
            </w:pPr>
            <w:r w:rsidRPr="00C70C84">
              <w:rPr>
                <w:rFonts w:eastAsia="Times New Roman" w:cs="Times New Roman"/>
                <w:sz w:val="19"/>
                <w:szCs w:val="19"/>
              </w:rPr>
              <w:t>Achieving the Dream. Lumi</w:t>
            </w:r>
            <w:r>
              <w:rPr>
                <w:rFonts w:eastAsia="Times New Roman" w:cs="Times New Roman"/>
                <w:sz w:val="19"/>
                <w:szCs w:val="19"/>
              </w:rPr>
              <w:t>na, Annie E. Casey, W.K.Kellogg,</w:t>
            </w:r>
            <w:r w:rsidRPr="00C70C84">
              <w:rPr>
                <w:rFonts w:eastAsia="Times New Roman" w:cs="Times New Roman"/>
                <w:sz w:val="19"/>
                <w:szCs w:val="19"/>
              </w:rPr>
              <w:t xml:space="preserve"> Kresge, MetLife &amp; Bank of America Foundations; WA, CA, AR, VA</w:t>
            </w:r>
          </w:p>
        </w:tc>
      </w:tr>
      <w:tr w:rsidR="00CA7477" w14:paraId="1860A2C0" w14:textId="77777777" w:rsidTr="00210234">
        <w:trPr>
          <w:trHeight w:val="180"/>
        </w:trPr>
        <w:tc>
          <w:tcPr>
            <w:tcW w:w="1710" w:type="dxa"/>
            <w:vMerge/>
            <w:shd w:val="clear" w:color="auto" w:fill="DBE5F1"/>
          </w:tcPr>
          <w:p w14:paraId="7585488C" w14:textId="77777777" w:rsidR="00CA7477" w:rsidRPr="00A007DE" w:rsidRDefault="00CA7477" w:rsidP="00BE4556">
            <w:pPr>
              <w:rPr>
                <w:sz w:val="20"/>
                <w:szCs w:val="20"/>
              </w:rPr>
            </w:pPr>
          </w:p>
        </w:tc>
        <w:tc>
          <w:tcPr>
            <w:tcW w:w="540" w:type="dxa"/>
          </w:tcPr>
          <w:p w14:paraId="153D0E4F" w14:textId="77777777" w:rsidR="00CA7477" w:rsidRPr="00414250" w:rsidRDefault="00CA7477" w:rsidP="005E223B">
            <w:pPr>
              <w:pStyle w:val="ListParagraph"/>
              <w:numPr>
                <w:ilvl w:val="0"/>
                <w:numId w:val="37"/>
              </w:numPr>
              <w:ind w:left="288"/>
              <w:jc w:val="center"/>
              <w:rPr>
                <w:rFonts w:asciiTheme="minorHAnsi" w:eastAsia="Times New Roman" w:hAnsiTheme="minorHAnsi" w:cs="Times New Roman"/>
                <w:b/>
                <w:sz w:val="18"/>
                <w:szCs w:val="18"/>
              </w:rPr>
            </w:pPr>
          </w:p>
        </w:tc>
        <w:tc>
          <w:tcPr>
            <w:tcW w:w="9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5AB24E" w14:textId="057EECE9" w:rsidR="00CA7477" w:rsidRDefault="00CA7477" w:rsidP="00BC6D80">
            <w:pPr>
              <w:rPr>
                <w:rFonts w:asciiTheme="minorHAnsi" w:hAnsiTheme="minorHAnsi"/>
                <w:color w:val="auto"/>
                <w:sz w:val="19"/>
                <w:szCs w:val="19"/>
              </w:rPr>
            </w:pPr>
            <w:r w:rsidRPr="006B10A5">
              <w:rPr>
                <w:b/>
                <w:sz w:val="19"/>
                <w:szCs w:val="19"/>
              </w:rPr>
              <w:t>LRNG</w:t>
            </w:r>
            <w:r w:rsidRPr="006B10A5">
              <w:rPr>
                <w:sz w:val="19"/>
                <w:szCs w:val="19"/>
              </w:rPr>
              <w:t xml:space="preserve"> is a social enterprise that brings together innovative leaders in Connected Learning with schools, businesses, cities, and community institutions such as libraries and museums to close the opportunity gap by building an ecosystem of learning that combines in-school, out-of-school, employer-based, and online learning experiences into a seamless network that is open and inviting to all youth.  </w:t>
            </w:r>
          </w:p>
        </w:tc>
        <w:tc>
          <w:tcPr>
            <w:tcW w:w="22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C7750B9" w14:textId="715349B6" w:rsidR="00CA7477" w:rsidRPr="00EC2193" w:rsidRDefault="00CA7477" w:rsidP="00056EAF">
            <w:pPr>
              <w:ind w:left="-120"/>
              <w:jc w:val="center"/>
              <w:rPr>
                <w:rFonts w:asciiTheme="minorHAnsi" w:hAnsiTheme="minorHAnsi"/>
                <w:color w:val="auto"/>
                <w:sz w:val="19"/>
                <w:szCs w:val="19"/>
              </w:rPr>
            </w:pPr>
            <w:r w:rsidRPr="006B10A5">
              <w:rPr>
                <w:sz w:val="19"/>
                <w:szCs w:val="19"/>
              </w:rPr>
              <w:t xml:space="preserve">Collective Shift </w:t>
            </w:r>
            <w:r>
              <w:rPr>
                <w:sz w:val="19"/>
                <w:szCs w:val="19"/>
              </w:rPr>
              <w:t xml:space="preserve">&amp; </w:t>
            </w:r>
            <w:r w:rsidRPr="006B10A5">
              <w:rPr>
                <w:sz w:val="19"/>
                <w:szCs w:val="19"/>
              </w:rPr>
              <w:t xml:space="preserve"> John D. and Catherine T. MacArthur Foundation</w:t>
            </w:r>
          </w:p>
        </w:tc>
      </w:tr>
      <w:tr w:rsidR="00CA7477" w14:paraId="5D31DFB5" w14:textId="77777777" w:rsidTr="00210234">
        <w:trPr>
          <w:trHeight w:val="180"/>
        </w:trPr>
        <w:tc>
          <w:tcPr>
            <w:tcW w:w="1710" w:type="dxa"/>
            <w:vMerge/>
            <w:shd w:val="clear" w:color="auto" w:fill="DBE5F1"/>
          </w:tcPr>
          <w:p w14:paraId="231EAB7E" w14:textId="77777777" w:rsidR="00CA7477" w:rsidRPr="00A007DE" w:rsidRDefault="00CA7477" w:rsidP="00BE4556">
            <w:pPr>
              <w:rPr>
                <w:sz w:val="20"/>
                <w:szCs w:val="20"/>
              </w:rPr>
            </w:pPr>
          </w:p>
        </w:tc>
        <w:tc>
          <w:tcPr>
            <w:tcW w:w="540" w:type="dxa"/>
          </w:tcPr>
          <w:p w14:paraId="6AA5B3CC" w14:textId="77777777" w:rsidR="00CA7477" w:rsidRPr="00414250" w:rsidRDefault="00CA7477" w:rsidP="005E223B">
            <w:pPr>
              <w:pStyle w:val="ListParagraph"/>
              <w:numPr>
                <w:ilvl w:val="0"/>
                <w:numId w:val="37"/>
              </w:numPr>
              <w:ind w:left="288"/>
              <w:jc w:val="center"/>
              <w:rPr>
                <w:rFonts w:asciiTheme="minorHAnsi" w:eastAsia="Times New Roman" w:hAnsiTheme="minorHAnsi" w:cs="Times New Roman"/>
                <w:b/>
                <w:sz w:val="18"/>
                <w:szCs w:val="18"/>
              </w:rPr>
            </w:pPr>
          </w:p>
        </w:tc>
        <w:tc>
          <w:tcPr>
            <w:tcW w:w="9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EF8DB2" w14:textId="233FBC42" w:rsidR="00CA7477" w:rsidRDefault="00CA7477" w:rsidP="00BC6D80">
            <w:pPr>
              <w:rPr>
                <w:rFonts w:asciiTheme="minorHAnsi" w:hAnsiTheme="minorHAnsi"/>
                <w:color w:val="auto"/>
                <w:sz w:val="19"/>
                <w:szCs w:val="19"/>
              </w:rPr>
            </w:pPr>
            <w:r w:rsidRPr="008D2A77">
              <w:rPr>
                <w:rFonts w:eastAsia="Times New Roman" w:cs="Times New Roman"/>
                <w:color w:val="auto"/>
                <w:sz w:val="19"/>
                <w:szCs w:val="19"/>
              </w:rPr>
              <w:t xml:space="preserve">Developing </w:t>
            </w:r>
            <w:r w:rsidRPr="008D2A77">
              <w:rPr>
                <w:rFonts w:eastAsia="Times New Roman" w:cs="Times New Roman"/>
                <w:b/>
                <w:color w:val="auto"/>
                <w:sz w:val="19"/>
                <w:szCs w:val="19"/>
              </w:rPr>
              <w:t>equity policy framework</w:t>
            </w:r>
            <w:r w:rsidRPr="008D2A77">
              <w:rPr>
                <w:rFonts w:eastAsia="Times New Roman" w:cs="Times New Roman"/>
                <w:color w:val="auto"/>
                <w:sz w:val="19"/>
                <w:szCs w:val="19"/>
              </w:rPr>
              <w:t xml:space="preserve"> designed to connect vulnerable populations to a 'guided pathways to credentials' policy framework. The framework will tackle policy obstacles specific to on-ramps to, persistence in and completion of guided pathways to credentials for opportunity youth, veterans, undocumented immigrants, and justice-involved individuals. JFF also is convening a group of national thought leaders and developing a paper exploring how online and hybrid competency based education models can better incorporate best practices that ensure better outcomes for low-income, academically underprepared learners. </w:t>
            </w:r>
          </w:p>
        </w:tc>
        <w:tc>
          <w:tcPr>
            <w:tcW w:w="22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E1BD7C9" w14:textId="5F25E673" w:rsidR="00CA7477" w:rsidRPr="00EC2193" w:rsidRDefault="00CA7477" w:rsidP="00056EAF">
            <w:pPr>
              <w:ind w:left="-120"/>
              <w:jc w:val="center"/>
              <w:rPr>
                <w:rFonts w:asciiTheme="minorHAnsi" w:hAnsiTheme="minorHAnsi"/>
                <w:color w:val="auto"/>
                <w:sz w:val="19"/>
                <w:szCs w:val="19"/>
              </w:rPr>
            </w:pPr>
            <w:r w:rsidRPr="008D2A77">
              <w:rPr>
                <w:rFonts w:eastAsia="Times New Roman" w:cs="Times New Roman"/>
                <w:sz w:val="19"/>
                <w:szCs w:val="19"/>
              </w:rPr>
              <w:t>Jobs for the Future</w:t>
            </w:r>
          </w:p>
        </w:tc>
      </w:tr>
      <w:tr w:rsidR="00CA7477" w14:paraId="60EAC1B5" w14:textId="77777777" w:rsidTr="00210234">
        <w:trPr>
          <w:trHeight w:val="943"/>
        </w:trPr>
        <w:tc>
          <w:tcPr>
            <w:tcW w:w="14310" w:type="dxa"/>
            <w:gridSpan w:val="4"/>
            <w:shd w:val="clear" w:color="auto" w:fill="E5DFEC"/>
          </w:tcPr>
          <w:p w14:paraId="3302F3B5" w14:textId="5C0777E4" w:rsidR="00CA7477" w:rsidRPr="00145C74" w:rsidRDefault="00CA7477" w:rsidP="00074C4A">
            <w:pPr>
              <w:spacing w:after="80"/>
              <w:jc w:val="center"/>
              <w:rPr>
                <w:b/>
                <w:sz w:val="24"/>
                <w:szCs w:val="24"/>
              </w:rPr>
            </w:pPr>
            <w:r>
              <w:rPr>
                <w:b/>
                <w:sz w:val="24"/>
                <w:szCs w:val="24"/>
              </w:rPr>
              <w:t>Use</w:t>
            </w:r>
            <w:r w:rsidRPr="00145C74">
              <w:rPr>
                <w:b/>
                <w:sz w:val="24"/>
                <w:szCs w:val="24"/>
              </w:rPr>
              <w:t xml:space="preserve"> real-time data and technology to empower credential users and create continuous feedback mechanisms</w:t>
            </w:r>
          </w:p>
          <w:p w14:paraId="2B36E312" w14:textId="77777777" w:rsidR="00CA7477" w:rsidRDefault="00CA7477" w:rsidP="00145C74">
            <w:pPr>
              <w:pStyle w:val="ListParagraph"/>
              <w:numPr>
                <w:ilvl w:val="0"/>
                <w:numId w:val="41"/>
              </w:numPr>
            </w:pPr>
            <w:r>
              <w:t>Develop a shared vision of the interoperable data infrastructure needed to support a connected credentialing system;</w:t>
            </w:r>
          </w:p>
          <w:p w14:paraId="73B1ECD2" w14:textId="77777777" w:rsidR="00CA7477" w:rsidRDefault="00CA7477" w:rsidP="00145C74">
            <w:pPr>
              <w:pStyle w:val="ListParagraph"/>
              <w:numPr>
                <w:ilvl w:val="0"/>
                <w:numId w:val="41"/>
              </w:numPr>
            </w:pPr>
            <w:r>
              <w:t>Identify why and how the basic components of this infrastructure need to interconnect; and</w:t>
            </w:r>
          </w:p>
          <w:p w14:paraId="0BD738D7" w14:textId="77777777" w:rsidR="00CA7477" w:rsidRDefault="00CA7477" w:rsidP="00145C74">
            <w:pPr>
              <w:pStyle w:val="ListParagraph"/>
              <w:numPr>
                <w:ilvl w:val="0"/>
                <w:numId w:val="41"/>
              </w:numPr>
            </w:pPr>
            <w:r>
              <w:t xml:space="preserve">Recommend ways to connect multiple initiatives in this arena to increase interoperability. </w:t>
            </w:r>
          </w:p>
          <w:p w14:paraId="5AAC5005" w14:textId="77777777" w:rsidR="00CA7477" w:rsidRDefault="00CA7477" w:rsidP="00145C74"/>
          <w:p w14:paraId="1F86A756" w14:textId="77777777" w:rsidR="00CA7477" w:rsidRDefault="00CA7477" w:rsidP="00145C74">
            <w:r>
              <w:t>The workgroup’s work will start with consideration of the following building blocks of an interconnected data:</w:t>
            </w:r>
          </w:p>
          <w:p w14:paraId="0BCE47B7" w14:textId="77777777" w:rsidR="00CA7477" w:rsidRDefault="00CA7477" w:rsidP="00145C74">
            <w:pPr>
              <w:pStyle w:val="ListParagraph"/>
              <w:numPr>
                <w:ilvl w:val="0"/>
                <w:numId w:val="42"/>
              </w:numPr>
            </w:pPr>
            <w:r>
              <w:t>On-line learning systems</w:t>
            </w:r>
          </w:p>
          <w:p w14:paraId="03A1F72C" w14:textId="77777777" w:rsidR="00CA7477" w:rsidRDefault="00CA7477" w:rsidP="00145C74">
            <w:pPr>
              <w:pStyle w:val="ListParagraph"/>
              <w:numPr>
                <w:ilvl w:val="0"/>
                <w:numId w:val="42"/>
              </w:numPr>
            </w:pPr>
            <w:r>
              <w:t>Credential holder documentation</w:t>
            </w:r>
          </w:p>
          <w:p w14:paraId="77941598" w14:textId="77777777" w:rsidR="00CA7477" w:rsidRDefault="00CA7477" w:rsidP="00145C74">
            <w:pPr>
              <w:pStyle w:val="ListParagraph"/>
              <w:numPr>
                <w:ilvl w:val="0"/>
                <w:numId w:val="42"/>
              </w:numPr>
            </w:pPr>
            <w:r>
              <w:lastRenderedPageBreak/>
              <w:t>Individual-level longitudinal data systems</w:t>
            </w:r>
          </w:p>
          <w:p w14:paraId="070D546B" w14:textId="77777777" w:rsidR="00CA7477" w:rsidRDefault="00CA7477" w:rsidP="00145C74">
            <w:pPr>
              <w:pStyle w:val="ListParagraph"/>
              <w:numPr>
                <w:ilvl w:val="0"/>
                <w:numId w:val="42"/>
              </w:numPr>
            </w:pPr>
            <w:r>
              <w:t>Information about credentialing organizations and the credentials they issue</w:t>
            </w:r>
          </w:p>
          <w:p w14:paraId="256C4B70" w14:textId="77777777" w:rsidR="00CA7477" w:rsidRDefault="00CA7477" w:rsidP="00145C74">
            <w:pPr>
              <w:pStyle w:val="ListParagraph"/>
              <w:numPr>
                <w:ilvl w:val="0"/>
                <w:numId w:val="42"/>
              </w:numPr>
            </w:pPr>
            <w:r>
              <w:t>Labor market information and statistics</w:t>
            </w:r>
          </w:p>
          <w:p w14:paraId="4696D4DD" w14:textId="77777777" w:rsidR="00CA7477" w:rsidRDefault="00CA7477" w:rsidP="00145C74">
            <w:pPr>
              <w:pStyle w:val="ListParagraph"/>
              <w:numPr>
                <w:ilvl w:val="0"/>
                <w:numId w:val="42"/>
              </w:numPr>
            </w:pPr>
            <w:r>
              <w:t>Employer human resources data systems</w:t>
            </w:r>
          </w:p>
          <w:p w14:paraId="2099113C" w14:textId="77777777" w:rsidR="00CA7477" w:rsidRPr="00145C74" w:rsidRDefault="00CA7477" w:rsidP="00145C74">
            <w:pPr>
              <w:spacing w:after="80"/>
              <w:rPr>
                <w:b/>
                <w:sz w:val="24"/>
                <w:szCs w:val="24"/>
              </w:rPr>
            </w:pPr>
          </w:p>
          <w:p w14:paraId="3F37F625" w14:textId="1A8E4CA4" w:rsidR="00CA7477" w:rsidRPr="00A007DE" w:rsidRDefault="00CA7477" w:rsidP="00145C74">
            <w:pPr>
              <w:pStyle w:val="Heading1"/>
              <w:spacing w:before="240"/>
              <w:ind w:left="288"/>
              <w:jc w:val="center"/>
              <w:outlineLvl w:val="0"/>
              <w:rPr>
                <w:rFonts w:asciiTheme="minorHAnsi" w:hAnsiTheme="minorHAnsi"/>
                <w:color w:val="auto"/>
                <w:sz w:val="20"/>
                <w:szCs w:val="20"/>
              </w:rPr>
            </w:pPr>
          </w:p>
        </w:tc>
      </w:tr>
      <w:tr w:rsidR="00CA7477" w14:paraId="63FC4777" w14:textId="77777777" w:rsidTr="00210234">
        <w:trPr>
          <w:trHeight w:val="1232"/>
        </w:trPr>
        <w:tc>
          <w:tcPr>
            <w:tcW w:w="1710" w:type="dxa"/>
            <w:shd w:val="clear" w:color="auto" w:fill="E5DFEC"/>
          </w:tcPr>
          <w:p w14:paraId="3C334833" w14:textId="77777777" w:rsidR="00CA7477" w:rsidRPr="00A007DE" w:rsidRDefault="00CA7477" w:rsidP="00BE4556">
            <w:pPr>
              <w:rPr>
                <w:rFonts w:asciiTheme="minorHAnsi" w:eastAsia="Times New Roman" w:hAnsiTheme="minorHAnsi" w:cs="Times New Roman"/>
                <w:sz w:val="20"/>
                <w:szCs w:val="20"/>
              </w:rPr>
            </w:pPr>
          </w:p>
          <w:p w14:paraId="3268B7C0" w14:textId="77777777" w:rsidR="00CA7477" w:rsidRPr="00A007DE" w:rsidRDefault="00CA7477" w:rsidP="00BE4556">
            <w:pPr>
              <w:rPr>
                <w:rFonts w:asciiTheme="minorHAnsi" w:hAnsiTheme="minorHAnsi"/>
                <w:sz w:val="20"/>
                <w:szCs w:val="20"/>
              </w:rPr>
            </w:pPr>
            <w:r w:rsidRPr="00A007DE">
              <w:rPr>
                <w:rFonts w:asciiTheme="minorHAnsi" w:eastAsia="Times New Roman" w:hAnsiTheme="minorHAnsi" w:cs="Times New Roman"/>
                <w:sz w:val="20"/>
                <w:szCs w:val="20"/>
              </w:rPr>
              <w:t>Credential</w:t>
            </w:r>
          </w:p>
          <w:p w14:paraId="765E09BA" w14:textId="77777777" w:rsidR="00CA7477" w:rsidRPr="00A007DE" w:rsidRDefault="00CA7477" w:rsidP="00BE4556">
            <w:pPr>
              <w:rPr>
                <w:rFonts w:asciiTheme="minorHAnsi" w:hAnsiTheme="minorHAnsi"/>
                <w:sz w:val="20"/>
                <w:szCs w:val="20"/>
              </w:rPr>
            </w:pPr>
            <w:r w:rsidRPr="00A007DE">
              <w:rPr>
                <w:rFonts w:asciiTheme="minorHAnsi" w:eastAsia="Times New Roman" w:hAnsiTheme="minorHAnsi" w:cs="Times New Roman"/>
                <w:sz w:val="20"/>
                <w:szCs w:val="20"/>
              </w:rPr>
              <w:t>Registry</w:t>
            </w:r>
          </w:p>
          <w:p w14:paraId="1D1ED71C" w14:textId="77777777" w:rsidR="00CA7477" w:rsidRPr="00A007DE" w:rsidRDefault="00CA7477" w:rsidP="00BE4556">
            <w:pPr>
              <w:rPr>
                <w:rFonts w:asciiTheme="minorHAnsi" w:hAnsiTheme="minorHAnsi"/>
                <w:sz w:val="20"/>
                <w:szCs w:val="20"/>
              </w:rPr>
            </w:pPr>
          </w:p>
        </w:tc>
        <w:tc>
          <w:tcPr>
            <w:tcW w:w="540" w:type="dxa"/>
          </w:tcPr>
          <w:p w14:paraId="432F1ACC" w14:textId="653BA778" w:rsidR="00CA7477" w:rsidRPr="00414250" w:rsidRDefault="00CA7477" w:rsidP="005E223B">
            <w:pPr>
              <w:pStyle w:val="ListParagraph"/>
              <w:numPr>
                <w:ilvl w:val="0"/>
                <w:numId w:val="37"/>
              </w:numPr>
              <w:ind w:left="288"/>
              <w:jc w:val="center"/>
              <w:rPr>
                <w:rFonts w:asciiTheme="minorHAnsi" w:eastAsia="Times New Roman" w:hAnsiTheme="minorHAnsi" w:cs="Times New Roman"/>
                <w:b/>
                <w:sz w:val="18"/>
                <w:szCs w:val="18"/>
              </w:rPr>
            </w:pPr>
          </w:p>
        </w:tc>
        <w:tc>
          <w:tcPr>
            <w:tcW w:w="9810" w:type="dxa"/>
          </w:tcPr>
          <w:p w14:paraId="590EF90D" w14:textId="390807DA" w:rsidR="00CA7477" w:rsidRPr="007B2BC3" w:rsidRDefault="00CA7477" w:rsidP="00883C5F">
            <w:pPr>
              <w:rPr>
                <w:rFonts w:asciiTheme="minorHAnsi" w:hAnsiTheme="minorHAnsi"/>
                <w:color w:val="auto"/>
                <w:sz w:val="19"/>
                <w:szCs w:val="19"/>
              </w:rPr>
            </w:pPr>
            <w:r w:rsidRPr="007B2BC3">
              <w:rPr>
                <w:rFonts w:asciiTheme="minorHAnsi" w:eastAsia="Times New Roman" w:hAnsiTheme="minorHAnsi" w:cs="Times New Roman"/>
                <w:b/>
                <w:color w:val="auto"/>
                <w:sz w:val="19"/>
                <w:szCs w:val="19"/>
              </w:rPr>
              <w:t>Credential Transparency Initiative</w:t>
            </w:r>
            <w:r w:rsidRPr="007B2BC3">
              <w:rPr>
                <w:rFonts w:asciiTheme="minorHAnsi" w:eastAsia="Times New Roman" w:hAnsiTheme="minorHAnsi" w:cs="Times New Roman"/>
                <w:color w:val="auto"/>
                <w:sz w:val="19"/>
                <w:szCs w:val="19"/>
              </w:rPr>
              <w:t xml:space="preserve"> aims to create greater coherence, and transparency in the U.S. credentialing marketplace by: developing a common terminology for describing key features of credentials; creating a voluntary, web-based “registry” for sharing the resulting information; and testing practical “app” options to help produce searches that would benefit employers, students, educators and others. </w:t>
            </w:r>
            <w:hyperlink r:id="rId77">
              <w:r w:rsidRPr="007B2BC3">
                <w:rPr>
                  <w:rFonts w:asciiTheme="minorHAnsi" w:eastAsia="Times New Roman" w:hAnsiTheme="minorHAnsi" w:cs="Times New Roman"/>
                  <w:color w:val="auto"/>
                  <w:sz w:val="19"/>
                  <w:szCs w:val="19"/>
                  <w:u w:val="single"/>
                </w:rPr>
                <w:t>http://www.credentialtransparencyinitiative.org/</w:t>
              </w:r>
            </w:hyperlink>
          </w:p>
        </w:tc>
        <w:tc>
          <w:tcPr>
            <w:tcW w:w="2250" w:type="dxa"/>
          </w:tcPr>
          <w:p w14:paraId="2E75459C" w14:textId="6C7C09D3" w:rsidR="00CA7477" w:rsidRPr="007B2BC3" w:rsidRDefault="00CA7477" w:rsidP="00DC35A0">
            <w:pPr>
              <w:jc w:val="center"/>
              <w:rPr>
                <w:rFonts w:asciiTheme="minorHAnsi" w:hAnsiTheme="minorHAnsi"/>
                <w:sz w:val="19"/>
                <w:szCs w:val="19"/>
              </w:rPr>
            </w:pPr>
            <w:r w:rsidRPr="007B2BC3">
              <w:rPr>
                <w:rFonts w:asciiTheme="minorHAnsi" w:eastAsia="Times New Roman" w:hAnsiTheme="minorHAnsi" w:cs="Times New Roman"/>
                <w:sz w:val="19"/>
                <w:szCs w:val="19"/>
              </w:rPr>
              <w:t>George Washington Institute of Public Policy, WorkCred – an affiliate of the American National Standards Institute, Southern Illinois University – Lumina Foundation</w:t>
            </w:r>
          </w:p>
        </w:tc>
      </w:tr>
      <w:tr w:rsidR="00CA7477" w14:paraId="0D299873" w14:textId="77777777" w:rsidTr="00210234">
        <w:trPr>
          <w:trHeight w:val="771"/>
        </w:trPr>
        <w:tc>
          <w:tcPr>
            <w:tcW w:w="1710" w:type="dxa"/>
            <w:vMerge w:val="restart"/>
            <w:shd w:val="clear" w:color="auto" w:fill="E5DFEC" w:themeFill="accent4" w:themeFillTint="33"/>
          </w:tcPr>
          <w:p w14:paraId="67C19AF3" w14:textId="77777777" w:rsidR="00CA7477" w:rsidRDefault="00CA7477" w:rsidP="00BE4556">
            <w:pPr>
              <w:rPr>
                <w:rFonts w:asciiTheme="minorHAnsi" w:hAnsiTheme="minorHAnsi" w:cs="Times New Roman"/>
                <w:sz w:val="20"/>
                <w:szCs w:val="20"/>
              </w:rPr>
            </w:pPr>
          </w:p>
          <w:p w14:paraId="09624209" w14:textId="77777777" w:rsidR="00CA7477" w:rsidRDefault="00CA7477" w:rsidP="00BE4556">
            <w:pPr>
              <w:rPr>
                <w:rFonts w:asciiTheme="minorHAnsi" w:hAnsiTheme="minorHAnsi" w:cs="Times New Roman"/>
                <w:sz w:val="20"/>
                <w:szCs w:val="20"/>
              </w:rPr>
            </w:pPr>
          </w:p>
          <w:p w14:paraId="2F4442B7" w14:textId="1A898E58" w:rsidR="00CA7477" w:rsidRPr="00A007DE" w:rsidRDefault="00CA7477" w:rsidP="00BE4556">
            <w:pPr>
              <w:rPr>
                <w:rFonts w:asciiTheme="minorHAnsi" w:hAnsiTheme="minorHAnsi" w:cs="Times New Roman"/>
                <w:sz w:val="20"/>
                <w:szCs w:val="20"/>
              </w:rPr>
            </w:pPr>
            <w:r>
              <w:rPr>
                <w:rFonts w:asciiTheme="minorHAnsi" w:hAnsiTheme="minorHAnsi" w:cs="Times New Roman"/>
                <w:sz w:val="20"/>
                <w:szCs w:val="20"/>
              </w:rPr>
              <w:t>Individual level data analysis</w:t>
            </w:r>
          </w:p>
        </w:tc>
        <w:tc>
          <w:tcPr>
            <w:tcW w:w="540" w:type="dxa"/>
          </w:tcPr>
          <w:p w14:paraId="68C020FF" w14:textId="2F32369E" w:rsidR="00CA7477" w:rsidRPr="00414250" w:rsidRDefault="00CA7477" w:rsidP="005E223B">
            <w:pPr>
              <w:pStyle w:val="ListParagraph"/>
              <w:numPr>
                <w:ilvl w:val="0"/>
                <w:numId w:val="37"/>
              </w:numPr>
              <w:ind w:left="288"/>
              <w:jc w:val="center"/>
              <w:rPr>
                <w:rFonts w:asciiTheme="minorHAnsi" w:eastAsia="Times New Roman" w:hAnsiTheme="minorHAnsi" w:cs="Times New Roman"/>
                <w:b/>
                <w:sz w:val="18"/>
                <w:szCs w:val="18"/>
              </w:rPr>
            </w:pPr>
          </w:p>
        </w:tc>
        <w:tc>
          <w:tcPr>
            <w:tcW w:w="9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BED185" w14:textId="77777777" w:rsidR="00CA7477" w:rsidRPr="007B2BC3" w:rsidRDefault="00CA7477" w:rsidP="00A01658">
            <w:pPr>
              <w:rPr>
                <w:rFonts w:asciiTheme="minorHAnsi" w:hAnsiTheme="minorHAnsi"/>
                <w:color w:val="auto"/>
                <w:sz w:val="19"/>
                <w:szCs w:val="19"/>
              </w:rPr>
            </w:pPr>
            <w:r w:rsidRPr="007B2BC3">
              <w:rPr>
                <w:rFonts w:asciiTheme="minorHAnsi" w:eastAsia="Times New Roman" w:hAnsiTheme="minorHAnsi" w:cs="Times New Roman"/>
                <w:color w:val="auto"/>
                <w:sz w:val="19"/>
                <w:szCs w:val="19"/>
              </w:rPr>
              <w:t xml:space="preserve">Publishes the most widely used and widely recognized tool for tracking the </w:t>
            </w:r>
            <w:r w:rsidRPr="007B2BC3">
              <w:rPr>
                <w:rFonts w:asciiTheme="minorHAnsi" w:eastAsia="Times New Roman" w:hAnsiTheme="minorHAnsi" w:cs="Times New Roman"/>
                <w:b/>
                <w:color w:val="auto"/>
                <w:sz w:val="19"/>
                <w:szCs w:val="19"/>
              </w:rPr>
              <w:t>value of 137 college majors</w:t>
            </w:r>
            <w:r w:rsidRPr="007B2BC3">
              <w:rPr>
                <w:rFonts w:asciiTheme="minorHAnsi" w:eastAsia="Times New Roman" w:hAnsiTheme="minorHAnsi" w:cs="Times New Roman"/>
                <w:color w:val="auto"/>
                <w:sz w:val="19"/>
                <w:szCs w:val="19"/>
              </w:rPr>
              <w:t xml:space="preserve"> nationwide and in individual states.</w:t>
            </w:r>
          </w:p>
        </w:tc>
        <w:tc>
          <w:tcPr>
            <w:tcW w:w="22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C78B0F7" w14:textId="3B672B69" w:rsidR="00CA7477" w:rsidRPr="007B2BC3" w:rsidRDefault="00CA7477" w:rsidP="001B1067">
            <w:pPr>
              <w:ind w:left="80"/>
              <w:jc w:val="center"/>
              <w:rPr>
                <w:rFonts w:asciiTheme="minorHAnsi" w:hAnsiTheme="minorHAnsi"/>
                <w:sz w:val="19"/>
                <w:szCs w:val="19"/>
              </w:rPr>
            </w:pPr>
            <w:r w:rsidRPr="007B2BC3">
              <w:rPr>
                <w:rFonts w:asciiTheme="minorHAnsi" w:eastAsia="Times New Roman" w:hAnsiTheme="minorHAnsi" w:cs="Times New Roman"/>
                <w:sz w:val="19"/>
                <w:szCs w:val="19"/>
              </w:rPr>
              <w:t>Georgetown University Center on Education &amp;  the Workforce -- Gates, Lumina &amp; Joyce Foundations</w:t>
            </w:r>
          </w:p>
        </w:tc>
      </w:tr>
      <w:tr w:rsidR="00CA7477" w14:paraId="70CA8B3D" w14:textId="77777777" w:rsidTr="00210234">
        <w:trPr>
          <w:trHeight w:val="771"/>
        </w:trPr>
        <w:tc>
          <w:tcPr>
            <w:tcW w:w="1710" w:type="dxa"/>
            <w:vMerge/>
            <w:shd w:val="clear" w:color="auto" w:fill="E5DFEC" w:themeFill="accent4" w:themeFillTint="33"/>
          </w:tcPr>
          <w:p w14:paraId="7C35E51C" w14:textId="77777777" w:rsidR="00CA7477" w:rsidRDefault="00CA7477" w:rsidP="00BE4556">
            <w:pPr>
              <w:rPr>
                <w:rFonts w:asciiTheme="minorHAnsi" w:hAnsiTheme="minorHAnsi" w:cs="Times New Roman"/>
                <w:sz w:val="20"/>
                <w:szCs w:val="20"/>
              </w:rPr>
            </w:pPr>
          </w:p>
        </w:tc>
        <w:tc>
          <w:tcPr>
            <w:tcW w:w="540" w:type="dxa"/>
          </w:tcPr>
          <w:p w14:paraId="3AA35D02" w14:textId="77777777" w:rsidR="00CA7477" w:rsidRPr="00414250" w:rsidRDefault="00CA7477" w:rsidP="005E223B">
            <w:pPr>
              <w:pStyle w:val="ListParagraph"/>
              <w:numPr>
                <w:ilvl w:val="0"/>
                <w:numId w:val="37"/>
              </w:numPr>
              <w:ind w:left="288"/>
              <w:jc w:val="center"/>
              <w:rPr>
                <w:rFonts w:asciiTheme="minorHAnsi" w:eastAsia="Times New Roman" w:hAnsiTheme="minorHAnsi" w:cs="Times New Roman"/>
                <w:b/>
                <w:sz w:val="18"/>
                <w:szCs w:val="18"/>
              </w:rPr>
            </w:pPr>
          </w:p>
        </w:tc>
        <w:tc>
          <w:tcPr>
            <w:tcW w:w="9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2CF6FC" w14:textId="77777777" w:rsidR="00CA7477" w:rsidRPr="007B2BC3" w:rsidRDefault="00CA7477" w:rsidP="00CA7477">
            <w:pPr>
              <w:ind w:left="110"/>
              <w:rPr>
                <w:rFonts w:asciiTheme="minorHAnsi" w:hAnsiTheme="minorHAnsi"/>
                <w:color w:val="auto"/>
                <w:sz w:val="19"/>
                <w:szCs w:val="19"/>
              </w:rPr>
            </w:pPr>
            <w:r w:rsidRPr="007B2BC3">
              <w:rPr>
                <w:rFonts w:asciiTheme="minorHAnsi" w:eastAsia="Times New Roman" w:hAnsiTheme="minorHAnsi" w:cs="Times New Roman"/>
                <w:color w:val="auto"/>
                <w:sz w:val="19"/>
                <w:szCs w:val="19"/>
              </w:rPr>
              <w:t xml:space="preserve">Provides stream of data in all reports that show access to particular awards and fields of study by sex, race, ethnicity, and class. This is crucial in the building of a credentialing system to ensure that it does not exclude particular people or create labor market shelters that create artificial barriers to entry that are inefficient. See Reports: </w:t>
            </w:r>
            <w:hyperlink r:id="rId78">
              <w:r w:rsidRPr="007B2BC3">
                <w:rPr>
                  <w:rFonts w:asciiTheme="minorHAnsi" w:eastAsia="Times New Roman" w:hAnsiTheme="minorHAnsi" w:cs="Times New Roman"/>
                  <w:b/>
                  <w:color w:val="auto"/>
                  <w:sz w:val="19"/>
                  <w:szCs w:val="19"/>
                  <w:u w:val="single"/>
                </w:rPr>
                <w:t>S</w:t>
              </w:r>
            </w:hyperlink>
            <w:r w:rsidRPr="007B2BC3">
              <w:rPr>
                <w:rFonts w:asciiTheme="minorHAnsi" w:eastAsia="Times New Roman" w:hAnsiTheme="minorHAnsi" w:cs="Times New Roman"/>
                <w:color w:val="auto"/>
                <w:sz w:val="19"/>
                <w:szCs w:val="19"/>
                <w:u w:val="single"/>
              </w:rPr>
              <w:t>eparate and Unequal</w:t>
            </w:r>
            <w:r w:rsidRPr="007B2BC3">
              <w:rPr>
                <w:rFonts w:asciiTheme="minorHAnsi" w:eastAsia="Times New Roman" w:hAnsiTheme="minorHAnsi" w:cs="Times New Roman"/>
                <w:color w:val="auto"/>
                <w:sz w:val="19"/>
                <w:szCs w:val="19"/>
              </w:rPr>
              <w:t xml:space="preserve">.  See Book Chapters from: </w:t>
            </w:r>
            <w:hyperlink r:id="rId79">
              <w:r w:rsidRPr="007B2BC3">
                <w:rPr>
                  <w:rFonts w:asciiTheme="minorHAnsi" w:eastAsia="Times New Roman" w:hAnsiTheme="minorHAnsi" w:cs="Times New Roman"/>
                  <w:color w:val="auto"/>
                  <w:sz w:val="19"/>
                  <w:szCs w:val="19"/>
                  <w:u w:val="single"/>
                </w:rPr>
                <w:t xml:space="preserve">The Future of Affirmative Action; </w:t>
              </w:r>
            </w:hyperlink>
            <w:hyperlink r:id="rId80">
              <w:r w:rsidRPr="007B2BC3">
                <w:rPr>
                  <w:rFonts w:asciiTheme="minorHAnsi" w:eastAsia="Times New Roman" w:hAnsiTheme="minorHAnsi" w:cs="Times New Roman"/>
                  <w:color w:val="auto"/>
                  <w:sz w:val="19"/>
                  <w:szCs w:val="19"/>
                  <w:u w:val="single"/>
                </w:rPr>
                <w:t xml:space="preserve">Rewarding Strivers; </w:t>
              </w:r>
            </w:hyperlink>
            <w:hyperlink r:id="rId81">
              <w:r w:rsidRPr="007B2BC3">
                <w:rPr>
                  <w:rFonts w:asciiTheme="minorHAnsi" w:eastAsia="Times New Roman" w:hAnsiTheme="minorHAnsi" w:cs="Times New Roman"/>
                  <w:color w:val="auto"/>
                  <w:sz w:val="19"/>
                  <w:szCs w:val="19"/>
                  <w:u w:val="single"/>
                </w:rPr>
                <w:t>The Century Foundation's America's Untapped Resource</w:t>
              </w:r>
            </w:hyperlink>
          </w:p>
          <w:p w14:paraId="2833D68B" w14:textId="180BF625" w:rsidR="00CA7477" w:rsidRPr="007B2BC3" w:rsidRDefault="00CA7477" w:rsidP="00A01658">
            <w:pPr>
              <w:rPr>
                <w:rFonts w:asciiTheme="minorHAnsi" w:eastAsia="Times New Roman" w:hAnsiTheme="minorHAnsi" w:cs="Times New Roman"/>
                <w:color w:val="auto"/>
                <w:sz w:val="19"/>
                <w:szCs w:val="19"/>
              </w:rPr>
            </w:pPr>
            <w:r w:rsidRPr="007B2BC3">
              <w:rPr>
                <w:rFonts w:asciiTheme="minorHAnsi" w:eastAsia="Times New Roman" w:hAnsiTheme="minorHAnsi" w:cs="Times New Roman"/>
                <w:color w:val="auto"/>
                <w:sz w:val="19"/>
                <w:szCs w:val="19"/>
              </w:rPr>
              <w:t>White House Initiative on Educational Excellence for Hispanics: Forthcoming paper: Latinos in the Workforce &amp; The Economic Value of Postsecondary Fields of Study:  College Completion for What</w:t>
            </w:r>
            <w:r w:rsidRPr="007B2BC3">
              <w:rPr>
                <w:rFonts w:asciiTheme="minorHAnsi" w:eastAsia="Times New Roman" w:hAnsiTheme="minorHAnsi" w:cs="Times New Roman"/>
                <w:b/>
                <w:color w:val="auto"/>
                <w:sz w:val="19"/>
                <w:szCs w:val="19"/>
              </w:rPr>
              <w:t xml:space="preserve">? </w:t>
            </w:r>
          </w:p>
        </w:tc>
        <w:tc>
          <w:tcPr>
            <w:tcW w:w="22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7BA4A8A" w14:textId="1DEE9FB1" w:rsidR="00CA7477" w:rsidRPr="007B2BC3" w:rsidRDefault="00CA7477" w:rsidP="001B1067">
            <w:pPr>
              <w:ind w:left="80"/>
              <w:jc w:val="center"/>
              <w:rPr>
                <w:rFonts w:asciiTheme="minorHAnsi" w:eastAsia="Times New Roman" w:hAnsiTheme="minorHAnsi" w:cs="Times New Roman"/>
                <w:sz w:val="19"/>
                <w:szCs w:val="19"/>
              </w:rPr>
            </w:pPr>
            <w:r w:rsidRPr="007B2BC3">
              <w:rPr>
                <w:rFonts w:asciiTheme="minorHAnsi" w:eastAsia="Times New Roman" w:hAnsiTheme="minorHAnsi" w:cs="Times New Roman"/>
                <w:sz w:val="19"/>
                <w:szCs w:val="19"/>
              </w:rPr>
              <w:t>Georgetown University Center on Education &amp;  the Workforce -- Gates, Lumina &amp; Joyce Foundations</w:t>
            </w:r>
          </w:p>
        </w:tc>
      </w:tr>
      <w:tr w:rsidR="00CA7477" w14:paraId="7C9BD8C4" w14:textId="77777777" w:rsidTr="00210234">
        <w:tc>
          <w:tcPr>
            <w:tcW w:w="1710" w:type="dxa"/>
            <w:vMerge w:val="restart"/>
            <w:shd w:val="clear" w:color="auto" w:fill="E5DFEC"/>
          </w:tcPr>
          <w:p w14:paraId="3C70532A" w14:textId="77777777" w:rsidR="00CA7477" w:rsidRPr="00A007DE" w:rsidRDefault="00CA7477" w:rsidP="00BE4556">
            <w:pPr>
              <w:rPr>
                <w:rFonts w:asciiTheme="minorHAnsi" w:eastAsia="Times New Roman" w:hAnsiTheme="minorHAnsi" w:cs="Times New Roman"/>
                <w:sz w:val="20"/>
                <w:szCs w:val="20"/>
              </w:rPr>
            </w:pPr>
          </w:p>
          <w:p w14:paraId="198BFA03" w14:textId="77777777" w:rsidR="00CA7477" w:rsidRDefault="00CA7477" w:rsidP="00BE4556">
            <w:pPr>
              <w:rPr>
                <w:rFonts w:asciiTheme="minorHAnsi" w:eastAsia="Times New Roman" w:hAnsiTheme="minorHAnsi" w:cs="Times New Roman"/>
                <w:sz w:val="20"/>
                <w:szCs w:val="20"/>
              </w:rPr>
            </w:pPr>
          </w:p>
          <w:p w14:paraId="2A02F50C" w14:textId="77777777" w:rsidR="00CA7477" w:rsidRDefault="00CA7477" w:rsidP="00BE4556">
            <w:pPr>
              <w:rPr>
                <w:rFonts w:asciiTheme="minorHAnsi" w:eastAsia="Times New Roman" w:hAnsiTheme="minorHAnsi" w:cs="Times New Roman"/>
                <w:sz w:val="20"/>
                <w:szCs w:val="20"/>
              </w:rPr>
            </w:pPr>
          </w:p>
          <w:p w14:paraId="4E7F8A6D" w14:textId="77777777" w:rsidR="00CA7477" w:rsidRDefault="00CA7477" w:rsidP="00BE4556">
            <w:pPr>
              <w:rPr>
                <w:rFonts w:asciiTheme="minorHAnsi" w:eastAsia="Times New Roman" w:hAnsiTheme="minorHAnsi" w:cs="Times New Roman"/>
                <w:sz w:val="20"/>
                <w:szCs w:val="20"/>
              </w:rPr>
            </w:pPr>
          </w:p>
          <w:p w14:paraId="48EDDB0D" w14:textId="77777777" w:rsidR="00CA7477" w:rsidRPr="00A007DE" w:rsidRDefault="00CA7477" w:rsidP="00BE4556">
            <w:pPr>
              <w:rPr>
                <w:rFonts w:asciiTheme="minorHAnsi" w:eastAsia="Times New Roman" w:hAnsiTheme="minorHAnsi" w:cs="Times New Roman"/>
                <w:sz w:val="20"/>
                <w:szCs w:val="20"/>
              </w:rPr>
            </w:pPr>
            <w:r w:rsidRPr="00A007DE">
              <w:rPr>
                <w:rFonts w:asciiTheme="minorHAnsi" w:eastAsia="Times New Roman" w:hAnsiTheme="minorHAnsi" w:cs="Times New Roman"/>
                <w:sz w:val="20"/>
                <w:szCs w:val="20"/>
              </w:rPr>
              <w:t xml:space="preserve">Enhancement </w:t>
            </w:r>
          </w:p>
          <w:p w14:paraId="6337C09F" w14:textId="77777777" w:rsidR="00CA7477" w:rsidRPr="00A007DE" w:rsidRDefault="00CA7477" w:rsidP="00BE4556">
            <w:pPr>
              <w:rPr>
                <w:rFonts w:asciiTheme="minorHAnsi" w:eastAsia="Times New Roman" w:hAnsiTheme="minorHAnsi" w:cs="Times New Roman"/>
                <w:sz w:val="20"/>
                <w:szCs w:val="20"/>
              </w:rPr>
            </w:pPr>
            <w:r w:rsidRPr="00A007DE">
              <w:rPr>
                <w:rFonts w:asciiTheme="minorHAnsi" w:eastAsia="Times New Roman" w:hAnsiTheme="minorHAnsi" w:cs="Times New Roman"/>
                <w:sz w:val="20"/>
                <w:szCs w:val="20"/>
              </w:rPr>
              <w:t xml:space="preserve">of data </w:t>
            </w:r>
          </w:p>
          <w:p w14:paraId="473FEC9D" w14:textId="6CE586C6" w:rsidR="00CA7477" w:rsidRPr="00A007DE" w:rsidRDefault="00CA7477" w:rsidP="00BE4556">
            <w:pPr>
              <w:rPr>
                <w:rFonts w:asciiTheme="minorHAnsi" w:hAnsiTheme="minorHAnsi"/>
                <w:sz w:val="20"/>
                <w:szCs w:val="20"/>
              </w:rPr>
            </w:pPr>
            <w:r w:rsidRPr="00A007DE">
              <w:rPr>
                <w:rFonts w:asciiTheme="minorHAnsi" w:eastAsia="Times New Roman" w:hAnsiTheme="minorHAnsi" w:cs="Times New Roman"/>
                <w:sz w:val="20"/>
                <w:szCs w:val="20"/>
              </w:rPr>
              <w:t>systems</w:t>
            </w:r>
          </w:p>
          <w:p w14:paraId="7A651394" w14:textId="0A4B7C5F" w:rsidR="00CA7477" w:rsidRPr="00A007DE" w:rsidRDefault="00CA7477" w:rsidP="00BE4556">
            <w:pPr>
              <w:rPr>
                <w:rFonts w:asciiTheme="minorHAnsi" w:hAnsiTheme="minorHAnsi"/>
                <w:sz w:val="20"/>
                <w:szCs w:val="20"/>
              </w:rPr>
            </w:pPr>
          </w:p>
          <w:p w14:paraId="12AD1F16" w14:textId="77777777" w:rsidR="00CA7477" w:rsidRPr="00A007DE" w:rsidRDefault="00CA7477" w:rsidP="00BE4556">
            <w:pPr>
              <w:rPr>
                <w:rFonts w:asciiTheme="minorHAnsi" w:hAnsiTheme="minorHAnsi"/>
                <w:sz w:val="20"/>
                <w:szCs w:val="20"/>
              </w:rPr>
            </w:pPr>
          </w:p>
          <w:p w14:paraId="168E4E76" w14:textId="77777777" w:rsidR="00CA7477" w:rsidRPr="00A007DE" w:rsidRDefault="00CA7477" w:rsidP="00BE4556">
            <w:pPr>
              <w:rPr>
                <w:rFonts w:asciiTheme="minorHAnsi" w:hAnsiTheme="minorHAnsi"/>
                <w:sz w:val="20"/>
                <w:szCs w:val="20"/>
              </w:rPr>
            </w:pPr>
          </w:p>
          <w:p w14:paraId="6C64B292" w14:textId="77777777" w:rsidR="00CA7477" w:rsidRPr="00A007DE" w:rsidRDefault="00CA7477" w:rsidP="00BE4556">
            <w:pPr>
              <w:rPr>
                <w:rFonts w:asciiTheme="minorHAnsi" w:hAnsiTheme="minorHAnsi"/>
                <w:sz w:val="20"/>
                <w:szCs w:val="20"/>
              </w:rPr>
            </w:pPr>
          </w:p>
          <w:p w14:paraId="6E238399" w14:textId="77777777" w:rsidR="00CA7477" w:rsidRPr="00A007DE" w:rsidRDefault="00CA7477" w:rsidP="00BE4556">
            <w:pPr>
              <w:rPr>
                <w:rFonts w:asciiTheme="minorHAnsi" w:hAnsiTheme="minorHAnsi"/>
                <w:sz w:val="20"/>
                <w:szCs w:val="20"/>
              </w:rPr>
            </w:pPr>
          </w:p>
        </w:tc>
        <w:tc>
          <w:tcPr>
            <w:tcW w:w="540" w:type="dxa"/>
          </w:tcPr>
          <w:p w14:paraId="637C6876" w14:textId="79E123F6" w:rsidR="00CA7477" w:rsidRPr="00414250" w:rsidRDefault="00CA7477" w:rsidP="005E223B">
            <w:pPr>
              <w:pStyle w:val="ListParagraph"/>
              <w:numPr>
                <w:ilvl w:val="0"/>
                <w:numId w:val="37"/>
              </w:numPr>
              <w:ind w:left="288"/>
              <w:jc w:val="center"/>
              <w:rPr>
                <w:rFonts w:asciiTheme="minorHAnsi" w:eastAsia="Times New Roman" w:hAnsiTheme="minorHAnsi" w:cs="Times New Roman"/>
                <w:b/>
                <w:sz w:val="18"/>
                <w:szCs w:val="18"/>
              </w:rPr>
            </w:pPr>
          </w:p>
        </w:tc>
        <w:tc>
          <w:tcPr>
            <w:tcW w:w="9810" w:type="dxa"/>
          </w:tcPr>
          <w:p w14:paraId="36C055A7" w14:textId="3AC867D6" w:rsidR="00CA7477" w:rsidRPr="007B2BC3" w:rsidRDefault="00CA7477" w:rsidP="00B07C98">
            <w:pPr>
              <w:rPr>
                <w:rFonts w:asciiTheme="minorHAnsi" w:hAnsiTheme="minorHAnsi"/>
                <w:color w:val="auto"/>
                <w:sz w:val="19"/>
                <w:szCs w:val="19"/>
              </w:rPr>
            </w:pPr>
            <w:r w:rsidRPr="007B2BC3">
              <w:rPr>
                <w:rFonts w:asciiTheme="minorHAnsi" w:eastAsia="Times New Roman" w:hAnsiTheme="minorHAnsi" w:cs="Times New Roman"/>
                <w:color w:val="auto"/>
                <w:sz w:val="19"/>
                <w:szCs w:val="19"/>
              </w:rPr>
              <w:t xml:space="preserve">Works to develop/validate national measures of the participation in and credentialing of education and training for work, and to build government-wide consensus for adoption of these measures in key federal data collections. GEMEnA is engaged in a rigorous process of survey item development to validate core items on 1) attainment of non-degree credentials including industry-recognized certifications, occupational licenses, and educational certificates, and 2) enrollment in education and training that prepares people for work.  See overview of federal data collections that include questions on education, training, and non-degree credentials for work. </w:t>
            </w:r>
            <w:hyperlink r:id="rId82">
              <w:r w:rsidRPr="007B2BC3">
                <w:rPr>
                  <w:rFonts w:asciiTheme="minorHAnsi" w:eastAsia="Times New Roman" w:hAnsiTheme="minorHAnsi" w:cs="Times New Roman"/>
                  <w:color w:val="auto"/>
                  <w:sz w:val="19"/>
                  <w:szCs w:val="19"/>
                  <w:u w:val="single"/>
                </w:rPr>
                <w:t>https://nces.ed.gov/surveys/gemena/surveys.asp</w:t>
              </w:r>
            </w:hyperlink>
            <w:r w:rsidRPr="007B2BC3">
              <w:rPr>
                <w:rFonts w:asciiTheme="minorHAnsi" w:eastAsia="Times New Roman" w:hAnsiTheme="minorHAnsi" w:cs="Times New Roman"/>
                <w:color w:val="auto"/>
                <w:sz w:val="19"/>
                <w:szCs w:val="19"/>
              </w:rPr>
              <w:t xml:space="preserve">  </w:t>
            </w:r>
          </w:p>
        </w:tc>
        <w:tc>
          <w:tcPr>
            <w:tcW w:w="2250" w:type="dxa"/>
          </w:tcPr>
          <w:p w14:paraId="0BA2B8E5" w14:textId="28FA0C5E" w:rsidR="00CA7477" w:rsidRPr="007B2BC3" w:rsidRDefault="00CA7477" w:rsidP="001B1067">
            <w:pPr>
              <w:jc w:val="center"/>
              <w:rPr>
                <w:rFonts w:asciiTheme="minorHAnsi" w:hAnsiTheme="minorHAnsi"/>
                <w:sz w:val="19"/>
                <w:szCs w:val="19"/>
              </w:rPr>
            </w:pPr>
            <w:r w:rsidRPr="007B2BC3">
              <w:rPr>
                <w:rFonts w:asciiTheme="minorHAnsi" w:eastAsia="Times New Roman" w:hAnsiTheme="minorHAnsi" w:cs="Times New Roman"/>
                <w:sz w:val="19"/>
                <w:szCs w:val="19"/>
              </w:rPr>
              <w:t xml:space="preserve">Federal Interagency Working Group on Expanded Measures of Enrollment &amp; Attainment (GEMEnA) </w:t>
            </w:r>
          </w:p>
        </w:tc>
      </w:tr>
      <w:tr w:rsidR="00CA7477" w14:paraId="00579453" w14:textId="77777777" w:rsidTr="00210234">
        <w:tc>
          <w:tcPr>
            <w:tcW w:w="1710" w:type="dxa"/>
            <w:vMerge/>
            <w:shd w:val="clear" w:color="auto" w:fill="E5DFEC"/>
          </w:tcPr>
          <w:p w14:paraId="0EF5F256" w14:textId="77777777" w:rsidR="00CA7477" w:rsidRPr="00A007DE" w:rsidRDefault="00CA7477" w:rsidP="00BE4556">
            <w:pPr>
              <w:rPr>
                <w:sz w:val="20"/>
                <w:szCs w:val="20"/>
              </w:rPr>
            </w:pPr>
          </w:p>
        </w:tc>
        <w:tc>
          <w:tcPr>
            <w:tcW w:w="540" w:type="dxa"/>
          </w:tcPr>
          <w:p w14:paraId="0C5E945A" w14:textId="77777777" w:rsidR="00CA7477" w:rsidRPr="00414250" w:rsidRDefault="00CA7477" w:rsidP="005E223B">
            <w:pPr>
              <w:pStyle w:val="ListParagraph"/>
              <w:numPr>
                <w:ilvl w:val="0"/>
                <w:numId w:val="37"/>
              </w:numPr>
              <w:ind w:left="288"/>
              <w:jc w:val="center"/>
              <w:rPr>
                <w:rFonts w:asciiTheme="minorHAnsi" w:eastAsia="Times New Roman" w:hAnsiTheme="minorHAnsi" w:cs="Times New Roman"/>
                <w:b/>
                <w:sz w:val="18"/>
                <w:szCs w:val="18"/>
              </w:rPr>
            </w:pPr>
          </w:p>
        </w:tc>
        <w:tc>
          <w:tcPr>
            <w:tcW w:w="9810" w:type="dxa"/>
          </w:tcPr>
          <w:p w14:paraId="236E02A2" w14:textId="5C60BD20" w:rsidR="00CA7477" w:rsidRPr="007B2BC3" w:rsidRDefault="00CA7477" w:rsidP="00BE4556">
            <w:pPr>
              <w:rPr>
                <w:rFonts w:asciiTheme="minorHAnsi" w:eastAsia="Times New Roman" w:hAnsiTheme="minorHAnsi" w:cs="Times New Roman"/>
                <w:color w:val="auto"/>
                <w:sz w:val="19"/>
                <w:szCs w:val="19"/>
              </w:rPr>
            </w:pPr>
            <w:r w:rsidRPr="007B2BC3">
              <w:rPr>
                <w:rFonts w:asciiTheme="minorHAnsi" w:eastAsia="Times New Roman" w:hAnsiTheme="minorHAnsi" w:cs="Times New Roman"/>
                <w:b/>
                <w:color w:val="auto"/>
                <w:sz w:val="19"/>
                <w:szCs w:val="19"/>
              </w:rPr>
              <w:t>Certification Data Exchange Project</w:t>
            </w:r>
            <w:r w:rsidRPr="007B2BC3">
              <w:rPr>
                <w:rFonts w:asciiTheme="minorHAnsi" w:eastAsia="Times New Roman" w:hAnsiTheme="minorHAnsi" w:cs="Times New Roman"/>
                <w:color w:val="auto"/>
                <w:sz w:val="19"/>
                <w:szCs w:val="19"/>
              </w:rPr>
              <w:t xml:space="preserve"> is working to expand and improve data exchange between industry certification organizations and state longitudinal data systems. Industry partners include CompTIA, ACT, Automotive Service Excellence/National Automotive Technicians Education Foundation and the Manufacturing Skill Standards Council. </w:t>
            </w:r>
            <w:hyperlink r:id="rId83">
              <w:r w:rsidRPr="007B2BC3">
                <w:rPr>
                  <w:rFonts w:asciiTheme="minorHAnsi" w:eastAsia="Times New Roman" w:hAnsiTheme="minorHAnsi" w:cs="Times New Roman"/>
                  <w:color w:val="auto"/>
                  <w:sz w:val="19"/>
                  <w:szCs w:val="19"/>
                  <w:u w:val="single"/>
                </w:rPr>
                <w:t>http://www.acteonline.org/certification_data</w:t>
              </w:r>
            </w:hyperlink>
            <w:r w:rsidRPr="007B2BC3">
              <w:rPr>
                <w:rFonts w:asciiTheme="minorHAnsi" w:eastAsia="Times New Roman" w:hAnsiTheme="minorHAnsi" w:cs="Times New Roman"/>
                <w:color w:val="auto"/>
                <w:sz w:val="19"/>
                <w:szCs w:val="19"/>
              </w:rPr>
              <w:t xml:space="preserve"> </w:t>
            </w:r>
          </w:p>
        </w:tc>
        <w:tc>
          <w:tcPr>
            <w:tcW w:w="2250" w:type="dxa"/>
          </w:tcPr>
          <w:p w14:paraId="4E67D4B2" w14:textId="6355E215" w:rsidR="00CA7477" w:rsidRPr="007B2BC3" w:rsidRDefault="00CA7477" w:rsidP="001B1067">
            <w:pPr>
              <w:jc w:val="center"/>
              <w:rPr>
                <w:rFonts w:asciiTheme="minorHAnsi" w:eastAsia="Times New Roman" w:hAnsiTheme="minorHAnsi" w:cs="Times New Roman"/>
                <w:sz w:val="19"/>
                <w:szCs w:val="19"/>
              </w:rPr>
            </w:pPr>
            <w:r w:rsidRPr="007B2BC3">
              <w:rPr>
                <w:rFonts w:asciiTheme="minorHAnsi" w:eastAsia="Times New Roman" w:hAnsiTheme="minorHAnsi" w:cs="Times New Roman"/>
                <w:sz w:val="19"/>
                <w:szCs w:val="19"/>
              </w:rPr>
              <w:t>Federal (OCTAE),</w:t>
            </w:r>
            <w:r w:rsidRPr="007B2BC3">
              <w:rPr>
                <w:rFonts w:asciiTheme="minorHAnsi" w:hAnsiTheme="minorHAnsi"/>
                <w:sz w:val="19"/>
                <w:szCs w:val="19"/>
              </w:rPr>
              <w:t xml:space="preserve"> </w:t>
            </w:r>
            <w:r w:rsidRPr="007B2BC3">
              <w:rPr>
                <w:rFonts w:asciiTheme="minorHAnsi" w:eastAsia="Times New Roman" w:hAnsiTheme="minorHAnsi" w:cs="Times New Roman"/>
                <w:sz w:val="19"/>
                <w:szCs w:val="19"/>
              </w:rPr>
              <w:t>Association for Career &amp; Technical Education (ACTE), other national &amp;  state partners</w:t>
            </w:r>
          </w:p>
        </w:tc>
      </w:tr>
      <w:tr w:rsidR="00CA7477" w14:paraId="1D0679FD" w14:textId="77777777" w:rsidTr="00210234">
        <w:tc>
          <w:tcPr>
            <w:tcW w:w="1710" w:type="dxa"/>
            <w:vMerge/>
            <w:shd w:val="clear" w:color="auto" w:fill="E5DFEC"/>
          </w:tcPr>
          <w:p w14:paraId="1D618E92" w14:textId="77777777" w:rsidR="00CA7477" w:rsidRPr="00A007DE" w:rsidRDefault="00CA7477" w:rsidP="00BE4556">
            <w:pPr>
              <w:rPr>
                <w:sz w:val="20"/>
                <w:szCs w:val="20"/>
              </w:rPr>
            </w:pPr>
          </w:p>
        </w:tc>
        <w:tc>
          <w:tcPr>
            <w:tcW w:w="540" w:type="dxa"/>
          </w:tcPr>
          <w:p w14:paraId="42A72FFC" w14:textId="0BA5F142" w:rsidR="00CA7477" w:rsidRPr="00414250" w:rsidRDefault="00CA7477" w:rsidP="005E223B">
            <w:pPr>
              <w:pStyle w:val="ListParagraph"/>
              <w:numPr>
                <w:ilvl w:val="0"/>
                <w:numId w:val="37"/>
              </w:numPr>
              <w:ind w:left="288"/>
              <w:jc w:val="center"/>
              <w:rPr>
                <w:rFonts w:asciiTheme="minorHAnsi" w:eastAsia="Times New Roman" w:hAnsiTheme="minorHAnsi" w:cs="Times New Roman"/>
                <w:b/>
                <w:sz w:val="18"/>
                <w:szCs w:val="18"/>
              </w:rPr>
            </w:pPr>
          </w:p>
        </w:tc>
        <w:tc>
          <w:tcPr>
            <w:tcW w:w="9810" w:type="dxa"/>
          </w:tcPr>
          <w:p w14:paraId="22E8C093" w14:textId="47541423" w:rsidR="00CA7477" w:rsidRPr="007B2BC3" w:rsidRDefault="00CA7477" w:rsidP="00BE4556">
            <w:pPr>
              <w:rPr>
                <w:rFonts w:asciiTheme="minorHAnsi" w:eastAsia="Times New Roman" w:hAnsiTheme="minorHAnsi" w:cs="Times New Roman"/>
                <w:b/>
                <w:color w:val="auto"/>
                <w:sz w:val="19"/>
                <w:szCs w:val="19"/>
              </w:rPr>
            </w:pPr>
            <w:r w:rsidRPr="007B2BC3">
              <w:rPr>
                <w:b/>
                <w:color w:val="auto"/>
                <w:sz w:val="19"/>
                <w:szCs w:val="19"/>
              </w:rPr>
              <w:t>Postsecondary Data Collaborative</w:t>
            </w:r>
            <w:r w:rsidRPr="007B2BC3">
              <w:rPr>
                <w:color w:val="auto"/>
                <w:sz w:val="19"/>
                <w:szCs w:val="19"/>
              </w:rPr>
              <w:t xml:space="preserve"> (PostsecData), comprised of more than 30 organizations, advocates for high-quality postsecondary data to improve student outcomes. </w:t>
            </w:r>
            <w:hyperlink r:id="rId84" w:history="1">
              <w:r w:rsidRPr="007B2BC3">
                <w:rPr>
                  <w:rStyle w:val="Hyperlink"/>
                  <w:color w:val="auto"/>
                  <w:sz w:val="19"/>
                  <w:szCs w:val="19"/>
                </w:rPr>
                <w:t>http://www.ihep.org/research/initiatives/postsecondary-data-collaborative-postsecdata</w:t>
              </w:r>
            </w:hyperlink>
            <w:r w:rsidRPr="007B2BC3">
              <w:rPr>
                <w:color w:val="auto"/>
                <w:sz w:val="19"/>
                <w:szCs w:val="19"/>
              </w:rPr>
              <w:t xml:space="preserve"> </w:t>
            </w:r>
          </w:p>
        </w:tc>
        <w:tc>
          <w:tcPr>
            <w:tcW w:w="2250" w:type="dxa"/>
          </w:tcPr>
          <w:p w14:paraId="56307BB4" w14:textId="70CF235B" w:rsidR="00CA7477" w:rsidRPr="007B2BC3" w:rsidRDefault="00CA7477" w:rsidP="001B1067">
            <w:pPr>
              <w:jc w:val="center"/>
              <w:rPr>
                <w:rFonts w:asciiTheme="minorHAnsi" w:eastAsia="Times New Roman" w:hAnsiTheme="minorHAnsi" w:cs="Times New Roman"/>
                <w:sz w:val="19"/>
                <w:szCs w:val="19"/>
              </w:rPr>
            </w:pPr>
            <w:r w:rsidRPr="007B2BC3">
              <w:rPr>
                <w:rFonts w:asciiTheme="minorHAnsi" w:eastAsia="Times New Roman" w:hAnsiTheme="minorHAnsi" w:cs="Times New Roman"/>
                <w:sz w:val="19"/>
                <w:szCs w:val="19"/>
              </w:rPr>
              <w:t xml:space="preserve">Institute for Higher Education Policy </w:t>
            </w:r>
          </w:p>
        </w:tc>
      </w:tr>
      <w:tr w:rsidR="00CA7477" w14:paraId="096E4D9A" w14:textId="77777777" w:rsidTr="00210234">
        <w:tc>
          <w:tcPr>
            <w:tcW w:w="1710" w:type="dxa"/>
            <w:vMerge/>
            <w:shd w:val="clear" w:color="auto" w:fill="E5DFEC"/>
          </w:tcPr>
          <w:p w14:paraId="1DEF922F" w14:textId="77777777" w:rsidR="00CA7477" w:rsidRPr="00A007DE" w:rsidRDefault="00CA7477" w:rsidP="00BE4556">
            <w:pPr>
              <w:rPr>
                <w:sz w:val="20"/>
                <w:szCs w:val="20"/>
              </w:rPr>
            </w:pPr>
          </w:p>
        </w:tc>
        <w:tc>
          <w:tcPr>
            <w:tcW w:w="540" w:type="dxa"/>
          </w:tcPr>
          <w:p w14:paraId="0AC7DA03" w14:textId="77777777" w:rsidR="00CA7477" w:rsidRPr="00414250" w:rsidRDefault="00CA7477" w:rsidP="005E223B">
            <w:pPr>
              <w:pStyle w:val="ListParagraph"/>
              <w:numPr>
                <w:ilvl w:val="0"/>
                <w:numId w:val="37"/>
              </w:numPr>
              <w:ind w:left="288"/>
              <w:jc w:val="center"/>
              <w:rPr>
                <w:rFonts w:asciiTheme="minorHAnsi" w:eastAsia="Times New Roman" w:hAnsiTheme="minorHAnsi" w:cs="Times New Roman"/>
                <w:b/>
                <w:sz w:val="18"/>
                <w:szCs w:val="18"/>
              </w:rPr>
            </w:pPr>
          </w:p>
        </w:tc>
        <w:tc>
          <w:tcPr>
            <w:tcW w:w="9810" w:type="dxa"/>
          </w:tcPr>
          <w:p w14:paraId="085A3C30" w14:textId="77777777" w:rsidR="00CA7477" w:rsidRPr="007B2BC3" w:rsidRDefault="00CA7477" w:rsidP="00BE4556">
            <w:pPr>
              <w:rPr>
                <w:rFonts w:asciiTheme="minorHAnsi" w:hAnsiTheme="minorHAnsi"/>
                <w:color w:val="auto"/>
                <w:sz w:val="19"/>
                <w:szCs w:val="19"/>
              </w:rPr>
            </w:pPr>
            <w:r w:rsidRPr="007B2BC3">
              <w:rPr>
                <w:rFonts w:asciiTheme="minorHAnsi" w:eastAsia="Times New Roman" w:hAnsiTheme="minorHAnsi" w:cs="Times New Roman"/>
                <w:b/>
                <w:color w:val="auto"/>
                <w:sz w:val="19"/>
                <w:szCs w:val="19"/>
              </w:rPr>
              <w:t xml:space="preserve">Workforce Credentials Coalition </w:t>
            </w:r>
            <w:r w:rsidRPr="007B2BC3">
              <w:rPr>
                <w:rFonts w:asciiTheme="minorHAnsi" w:eastAsia="Times New Roman" w:hAnsiTheme="minorHAnsi" w:cs="Times New Roman"/>
                <w:color w:val="auto"/>
                <w:sz w:val="19"/>
                <w:szCs w:val="19"/>
              </w:rPr>
              <w:t>is a</w:t>
            </w:r>
            <w:r w:rsidRPr="007B2BC3">
              <w:rPr>
                <w:rFonts w:asciiTheme="minorHAnsi" w:eastAsia="Times New Roman" w:hAnsiTheme="minorHAnsi" w:cs="Times New Roman"/>
                <w:b/>
                <w:color w:val="auto"/>
                <w:sz w:val="19"/>
                <w:szCs w:val="19"/>
              </w:rPr>
              <w:t xml:space="preserve"> </w:t>
            </w:r>
            <w:r w:rsidRPr="007B2BC3">
              <w:rPr>
                <w:rFonts w:asciiTheme="minorHAnsi" w:eastAsia="Times New Roman" w:hAnsiTheme="minorHAnsi" w:cs="Times New Roman"/>
                <w:color w:val="auto"/>
                <w:sz w:val="19"/>
                <w:szCs w:val="19"/>
              </w:rPr>
              <w:t>group of over 20 states seeking to develop joint data standards and data-sharing agreements with industry and professional certifying bodies to improve alignment of academic and industry credentials.</w:t>
            </w:r>
          </w:p>
          <w:p w14:paraId="30035CC3" w14:textId="77777777" w:rsidR="00CA7477" w:rsidRPr="007B2BC3" w:rsidRDefault="00CA7477" w:rsidP="00BE4556">
            <w:pPr>
              <w:rPr>
                <w:rFonts w:asciiTheme="minorHAnsi" w:eastAsia="Times New Roman" w:hAnsiTheme="minorHAnsi" w:cs="Times New Roman"/>
                <w:color w:val="auto"/>
                <w:sz w:val="19"/>
                <w:szCs w:val="19"/>
              </w:rPr>
            </w:pPr>
          </w:p>
        </w:tc>
        <w:tc>
          <w:tcPr>
            <w:tcW w:w="2250" w:type="dxa"/>
          </w:tcPr>
          <w:p w14:paraId="0C0A7D1C" w14:textId="08C3A9A6" w:rsidR="00CA7477" w:rsidRPr="007B2BC3" w:rsidRDefault="00CA7477" w:rsidP="00BE4556">
            <w:pPr>
              <w:jc w:val="center"/>
              <w:rPr>
                <w:rFonts w:asciiTheme="minorHAnsi" w:eastAsia="Times New Roman" w:hAnsiTheme="minorHAnsi" w:cs="Times New Roman"/>
                <w:sz w:val="19"/>
                <w:szCs w:val="19"/>
              </w:rPr>
            </w:pPr>
            <w:r w:rsidRPr="007B2BC3">
              <w:rPr>
                <w:rFonts w:asciiTheme="minorHAnsi" w:hAnsiTheme="minorHAnsi" w:cs="Times New Roman"/>
                <w:sz w:val="19"/>
                <w:szCs w:val="19"/>
              </w:rPr>
              <w:t>California Community Colleges  North Carolina Community Colleges</w:t>
            </w:r>
          </w:p>
        </w:tc>
      </w:tr>
      <w:tr w:rsidR="00CA7477" w14:paraId="254A1D27" w14:textId="77777777" w:rsidTr="00210234">
        <w:tc>
          <w:tcPr>
            <w:tcW w:w="1710" w:type="dxa"/>
            <w:vMerge/>
            <w:shd w:val="clear" w:color="auto" w:fill="E5DFEC"/>
          </w:tcPr>
          <w:p w14:paraId="3F7903FF" w14:textId="77777777" w:rsidR="00CA7477" w:rsidRPr="00A007DE" w:rsidRDefault="00CA7477" w:rsidP="00BE4556">
            <w:pPr>
              <w:rPr>
                <w:sz w:val="20"/>
                <w:szCs w:val="20"/>
              </w:rPr>
            </w:pPr>
          </w:p>
        </w:tc>
        <w:tc>
          <w:tcPr>
            <w:tcW w:w="540" w:type="dxa"/>
          </w:tcPr>
          <w:p w14:paraId="209B144C" w14:textId="77777777" w:rsidR="00CA7477" w:rsidRPr="00414250" w:rsidRDefault="00CA7477" w:rsidP="005E223B">
            <w:pPr>
              <w:pStyle w:val="ListParagraph"/>
              <w:numPr>
                <w:ilvl w:val="0"/>
                <w:numId w:val="37"/>
              </w:numPr>
              <w:ind w:left="288"/>
              <w:jc w:val="center"/>
              <w:rPr>
                <w:rFonts w:asciiTheme="minorHAnsi" w:eastAsia="Times New Roman" w:hAnsiTheme="minorHAnsi" w:cs="Times New Roman"/>
                <w:b/>
                <w:sz w:val="18"/>
                <w:szCs w:val="18"/>
              </w:rPr>
            </w:pPr>
          </w:p>
        </w:tc>
        <w:tc>
          <w:tcPr>
            <w:tcW w:w="9810" w:type="dxa"/>
          </w:tcPr>
          <w:p w14:paraId="78666619" w14:textId="554FFF39" w:rsidR="00CA7477" w:rsidRPr="007B2BC3" w:rsidRDefault="00CA7477" w:rsidP="00BE4556">
            <w:pPr>
              <w:rPr>
                <w:rFonts w:asciiTheme="minorHAnsi" w:eastAsia="Times New Roman" w:hAnsiTheme="minorHAnsi" w:cs="Times New Roman"/>
                <w:color w:val="auto"/>
                <w:sz w:val="19"/>
                <w:szCs w:val="19"/>
              </w:rPr>
            </w:pPr>
            <w:r w:rsidRPr="007B2BC3">
              <w:rPr>
                <w:rFonts w:asciiTheme="minorHAnsi" w:eastAsia="Times New Roman" w:hAnsiTheme="minorHAnsi" w:cs="Times New Roman"/>
                <w:b/>
                <w:color w:val="auto"/>
                <w:sz w:val="19"/>
                <w:szCs w:val="19"/>
              </w:rPr>
              <w:t xml:space="preserve">Workforce Data Quality Campaign </w:t>
            </w:r>
            <w:r w:rsidRPr="007B2BC3">
              <w:rPr>
                <w:rFonts w:asciiTheme="minorHAnsi" w:eastAsia="Times New Roman" w:hAnsiTheme="minorHAnsi" w:cs="Times New Roman"/>
                <w:color w:val="auto"/>
                <w:sz w:val="19"/>
                <w:szCs w:val="19"/>
              </w:rPr>
              <w:t xml:space="preserve">advocates for improvements to publically-supported data systems, including better information about non-degree credentials. </w:t>
            </w:r>
          </w:p>
        </w:tc>
        <w:tc>
          <w:tcPr>
            <w:tcW w:w="2250" w:type="dxa"/>
          </w:tcPr>
          <w:p w14:paraId="6D5FB05A" w14:textId="77777777" w:rsidR="00CA7477" w:rsidRPr="007B2BC3" w:rsidRDefault="00CA7477" w:rsidP="00BE4556">
            <w:pPr>
              <w:jc w:val="center"/>
              <w:rPr>
                <w:rFonts w:asciiTheme="minorHAnsi" w:hAnsiTheme="minorHAnsi" w:cs="Times New Roman"/>
                <w:sz w:val="19"/>
                <w:szCs w:val="19"/>
              </w:rPr>
            </w:pPr>
            <w:r w:rsidRPr="007B2BC3">
              <w:rPr>
                <w:rFonts w:asciiTheme="minorHAnsi" w:hAnsiTheme="minorHAnsi" w:cs="Times New Roman"/>
                <w:sz w:val="19"/>
                <w:szCs w:val="19"/>
              </w:rPr>
              <w:t xml:space="preserve">National  Skills </w:t>
            </w:r>
          </w:p>
          <w:p w14:paraId="0B67B9A8" w14:textId="0AFD523A" w:rsidR="00CA7477" w:rsidRPr="007B2BC3" w:rsidRDefault="00CA7477" w:rsidP="00BE4556">
            <w:pPr>
              <w:jc w:val="center"/>
              <w:rPr>
                <w:rFonts w:asciiTheme="minorHAnsi" w:eastAsia="Times New Roman" w:hAnsiTheme="minorHAnsi" w:cs="Times New Roman"/>
                <w:sz w:val="19"/>
                <w:szCs w:val="19"/>
              </w:rPr>
            </w:pPr>
            <w:r w:rsidRPr="007B2BC3">
              <w:rPr>
                <w:rFonts w:asciiTheme="minorHAnsi" w:hAnsiTheme="minorHAnsi" w:cs="Times New Roman"/>
                <w:sz w:val="19"/>
                <w:szCs w:val="19"/>
              </w:rPr>
              <w:t>Coalition</w:t>
            </w:r>
          </w:p>
        </w:tc>
      </w:tr>
      <w:tr w:rsidR="00CA7477" w14:paraId="29B97DA5" w14:textId="77777777" w:rsidTr="00210234">
        <w:tc>
          <w:tcPr>
            <w:tcW w:w="1710" w:type="dxa"/>
            <w:vMerge/>
            <w:shd w:val="clear" w:color="auto" w:fill="E5DFEC"/>
          </w:tcPr>
          <w:p w14:paraId="43D7FED0" w14:textId="77777777" w:rsidR="00CA7477" w:rsidRPr="00A007DE" w:rsidRDefault="00CA7477" w:rsidP="00BE4556">
            <w:pPr>
              <w:rPr>
                <w:sz w:val="20"/>
                <w:szCs w:val="20"/>
              </w:rPr>
            </w:pPr>
          </w:p>
        </w:tc>
        <w:tc>
          <w:tcPr>
            <w:tcW w:w="540" w:type="dxa"/>
          </w:tcPr>
          <w:p w14:paraId="505751B2" w14:textId="77777777" w:rsidR="00CA7477" w:rsidRPr="00414250" w:rsidRDefault="00CA7477" w:rsidP="005E223B">
            <w:pPr>
              <w:pStyle w:val="ListParagraph"/>
              <w:numPr>
                <w:ilvl w:val="0"/>
                <w:numId w:val="37"/>
              </w:numPr>
              <w:ind w:left="288"/>
              <w:jc w:val="center"/>
              <w:rPr>
                <w:rFonts w:asciiTheme="minorHAnsi" w:eastAsia="Times New Roman" w:hAnsiTheme="minorHAnsi" w:cs="Times New Roman"/>
                <w:b/>
                <w:sz w:val="18"/>
                <w:szCs w:val="18"/>
              </w:rPr>
            </w:pPr>
          </w:p>
        </w:tc>
        <w:tc>
          <w:tcPr>
            <w:tcW w:w="9810" w:type="dxa"/>
          </w:tcPr>
          <w:p w14:paraId="40E5F53A" w14:textId="434A311F" w:rsidR="00CA7477" w:rsidRPr="007B2BC3" w:rsidRDefault="00CA7477" w:rsidP="00BE4556">
            <w:pPr>
              <w:rPr>
                <w:rFonts w:asciiTheme="minorHAnsi" w:eastAsia="Times New Roman" w:hAnsiTheme="minorHAnsi" w:cs="Times New Roman"/>
                <w:color w:val="auto"/>
                <w:sz w:val="19"/>
                <w:szCs w:val="19"/>
              </w:rPr>
            </w:pPr>
            <w:r w:rsidRPr="007B2BC3">
              <w:rPr>
                <w:rFonts w:asciiTheme="minorHAnsi" w:eastAsia="Times New Roman" w:hAnsiTheme="minorHAnsi" w:cs="Times New Roman"/>
                <w:b/>
                <w:color w:val="auto"/>
                <w:sz w:val="19"/>
                <w:szCs w:val="19"/>
              </w:rPr>
              <w:t xml:space="preserve">Multistate Longitudinal Data Exchange </w:t>
            </w:r>
            <w:r w:rsidRPr="007B2BC3">
              <w:rPr>
                <w:rFonts w:asciiTheme="minorHAnsi" w:eastAsia="Times New Roman" w:hAnsiTheme="minorHAnsi" w:cs="Times New Roman"/>
                <w:color w:val="auto"/>
                <w:sz w:val="19"/>
                <w:szCs w:val="19"/>
              </w:rPr>
              <w:t>is building</w:t>
            </w:r>
            <w:r w:rsidRPr="007B2BC3">
              <w:rPr>
                <w:rFonts w:asciiTheme="minorHAnsi" w:eastAsia="Times New Roman" w:hAnsiTheme="minorHAnsi" w:cs="Times New Roman"/>
                <w:b/>
                <w:color w:val="auto"/>
                <w:sz w:val="19"/>
                <w:szCs w:val="19"/>
              </w:rPr>
              <w:t xml:space="preserve"> </w:t>
            </w:r>
            <w:r w:rsidRPr="007B2BC3">
              <w:rPr>
                <w:rFonts w:asciiTheme="minorHAnsi" w:eastAsia="Times New Roman" w:hAnsiTheme="minorHAnsi" w:cs="Times New Roman"/>
                <w:color w:val="auto"/>
                <w:sz w:val="19"/>
                <w:szCs w:val="19"/>
              </w:rPr>
              <w:t xml:space="preserve">a system to exchange individual-level education and workforce data </w:t>
            </w:r>
            <w:r w:rsidR="001E042B" w:rsidRPr="007B2BC3">
              <w:rPr>
                <w:rFonts w:asciiTheme="minorHAnsi" w:eastAsia="Times New Roman" w:hAnsiTheme="minorHAnsi" w:cs="Times New Roman"/>
                <w:color w:val="auto"/>
                <w:sz w:val="19"/>
                <w:szCs w:val="19"/>
              </w:rPr>
              <w:t xml:space="preserve">among </w:t>
            </w:r>
            <w:r w:rsidRPr="007B2BC3">
              <w:rPr>
                <w:rFonts w:asciiTheme="minorHAnsi" w:eastAsia="Times New Roman" w:hAnsiTheme="minorHAnsi" w:cs="Times New Roman"/>
                <w:color w:val="auto"/>
                <w:sz w:val="19"/>
                <w:szCs w:val="19"/>
              </w:rPr>
              <w:t xml:space="preserve">at least 10 states. Project builds on previous work to share data </w:t>
            </w:r>
            <w:r w:rsidR="001E042B" w:rsidRPr="007B2BC3">
              <w:rPr>
                <w:rFonts w:asciiTheme="minorHAnsi" w:eastAsia="Times New Roman" w:hAnsiTheme="minorHAnsi" w:cs="Times New Roman"/>
                <w:color w:val="auto"/>
                <w:sz w:val="19"/>
                <w:szCs w:val="19"/>
              </w:rPr>
              <w:t xml:space="preserve">among </w:t>
            </w:r>
            <w:r w:rsidRPr="007B2BC3">
              <w:rPr>
                <w:rFonts w:asciiTheme="minorHAnsi" w:eastAsia="Times New Roman" w:hAnsiTheme="minorHAnsi" w:cs="Times New Roman"/>
                <w:color w:val="auto"/>
                <w:sz w:val="19"/>
                <w:szCs w:val="19"/>
              </w:rPr>
              <w:t xml:space="preserve">four states. </w:t>
            </w:r>
            <w:hyperlink r:id="rId85">
              <w:r w:rsidRPr="007B2BC3">
                <w:rPr>
                  <w:rFonts w:asciiTheme="minorHAnsi" w:eastAsia="Times New Roman" w:hAnsiTheme="minorHAnsi" w:cs="Times New Roman"/>
                  <w:color w:val="auto"/>
                  <w:sz w:val="19"/>
                  <w:szCs w:val="19"/>
                  <w:u w:val="single"/>
                </w:rPr>
                <w:t>http://www.wiche.edu/longitudinaldataexchange</w:t>
              </w:r>
            </w:hyperlink>
            <w:r w:rsidRPr="007B2BC3">
              <w:rPr>
                <w:rFonts w:asciiTheme="minorHAnsi" w:eastAsia="Times New Roman" w:hAnsiTheme="minorHAnsi" w:cs="Times New Roman"/>
                <w:color w:val="auto"/>
                <w:sz w:val="19"/>
                <w:szCs w:val="19"/>
              </w:rPr>
              <w:t xml:space="preserve"> </w:t>
            </w:r>
          </w:p>
        </w:tc>
        <w:tc>
          <w:tcPr>
            <w:tcW w:w="2250" w:type="dxa"/>
          </w:tcPr>
          <w:p w14:paraId="50FD8A8F" w14:textId="309C816D" w:rsidR="00CA7477" w:rsidRPr="007B2BC3" w:rsidRDefault="00CA7477" w:rsidP="00860705">
            <w:pPr>
              <w:jc w:val="center"/>
              <w:rPr>
                <w:rFonts w:asciiTheme="minorHAnsi" w:eastAsia="Times New Roman" w:hAnsiTheme="minorHAnsi" w:cs="Times New Roman"/>
                <w:sz w:val="19"/>
                <w:szCs w:val="19"/>
              </w:rPr>
            </w:pPr>
            <w:r w:rsidRPr="007B2BC3">
              <w:rPr>
                <w:rFonts w:asciiTheme="minorHAnsi" w:eastAsia="Times New Roman" w:hAnsiTheme="minorHAnsi" w:cs="Times New Roman"/>
                <w:sz w:val="19"/>
                <w:szCs w:val="19"/>
              </w:rPr>
              <w:t>Western Interstate Commission for Higher Education – Gates Foundation</w:t>
            </w:r>
          </w:p>
        </w:tc>
      </w:tr>
      <w:tr w:rsidR="00CA7477" w14:paraId="6C3454E1" w14:textId="77777777" w:rsidTr="00210234">
        <w:tc>
          <w:tcPr>
            <w:tcW w:w="1710" w:type="dxa"/>
            <w:vMerge/>
            <w:shd w:val="clear" w:color="auto" w:fill="E5DFEC"/>
          </w:tcPr>
          <w:p w14:paraId="01D7E486" w14:textId="77777777" w:rsidR="00CA7477" w:rsidRPr="00A007DE" w:rsidRDefault="00CA7477" w:rsidP="00BE4556">
            <w:pPr>
              <w:rPr>
                <w:sz w:val="20"/>
                <w:szCs w:val="20"/>
              </w:rPr>
            </w:pPr>
          </w:p>
        </w:tc>
        <w:tc>
          <w:tcPr>
            <w:tcW w:w="540" w:type="dxa"/>
          </w:tcPr>
          <w:p w14:paraId="52668BF8" w14:textId="4D2D971E" w:rsidR="00CA7477" w:rsidRPr="00414250" w:rsidRDefault="00CA7477" w:rsidP="005E223B">
            <w:pPr>
              <w:pStyle w:val="ListParagraph"/>
              <w:numPr>
                <w:ilvl w:val="0"/>
                <w:numId w:val="37"/>
              </w:numPr>
              <w:ind w:left="288"/>
              <w:jc w:val="center"/>
              <w:rPr>
                <w:rFonts w:asciiTheme="minorHAnsi" w:eastAsia="Times New Roman" w:hAnsiTheme="minorHAnsi" w:cs="Times New Roman"/>
                <w:b/>
                <w:sz w:val="18"/>
                <w:szCs w:val="18"/>
              </w:rPr>
            </w:pPr>
          </w:p>
        </w:tc>
        <w:tc>
          <w:tcPr>
            <w:tcW w:w="9810" w:type="dxa"/>
          </w:tcPr>
          <w:p w14:paraId="43149824" w14:textId="77777777" w:rsidR="00CA7477" w:rsidRPr="007B2BC3" w:rsidRDefault="00CA7477" w:rsidP="00BE4556">
            <w:pPr>
              <w:rPr>
                <w:rFonts w:asciiTheme="minorHAnsi" w:hAnsiTheme="minorHAnsi"/>
                <w:color w:val="auto"/>
                <w:sz w:val="19"/>
                <w:szCs w:val="19"/>
              </w:rPr>
            </w:pPr>
            <w:r w:rsidRPr="007B2BC3">
              <w:rPr>
                <w:rFonts w:asciiTheme="minorHAnsi" w:eastAsia="Times New Roman" w:hAnsiTheme="minorHAnsi" w:cs="Times New Roman"/>
                <w:b/>
                <w:color w:val="auto"/>
                <w:sz w:val="19"/>
                <w:szCs w:val="19"/>
              </w:rPr>
              <w:t xml:space="preserve">The State Workforce and Education Alignment Project (SWEAP) </w:t>
            </w:r>
            <w:r w:rsidRPr="007B2BC3">
              <w:rPr>
                <w:rFonts w:asciiTheme="minorHAnsi" w:eastAsia="Times New Roman" w:hAnsiTheme="minorHAnsi" w:cs="Times New Roman"/>
                <w:color w:val="auto"/>
                <w:sz w:val="19"/>
                <w:szCs w:val="19"/>
              </w:rPr>
              <w:t>is helping to develop system-wide information about workforce education and training programs for state policy leaders</w:t>
            </w:r>
          </w:p>
        </w:tc>
        <w:tc>
          <w:tcPr>
            <w:tcW w:w="2250" w:type="dxa"/>
          </w:tcPr>
          <w:p w14:paraId="09930CE3" w14:textId="77777777" w:rsidR="00CA7477" w:rsidRPr="007B2BC3" w:rsidRDefault="00CA7477" w:rsidP="00BE4556">
            <w:pPr>
              <w:jc w:val="center"/>
              <w:rPr>
                <w:rFonts w:asciiTheme="minorHAnsi" w:hAnsiTheme="minorHAnsi"/>
                <w:sz w:val="19"/>
                <w:szCs w:val="19"/>
              </w:rPr>
            </w:pPr>
            <w:r w:rsidRPr="007B2BC3">
              <w:rPr>
                <w:rFonts w:asciiTheme="minorHAnsi" w:hAnsiTheme="minorHAnsi"/>
                <w:sz w:val="19"/>
                <w:szCs w:val="19"/>
              </w:rPr>
              <w:t xml:space="preserve">National Skills </w:t>
            </w:r>
          </w:p>
          <w:p w14:paraId="081D6EE7" w14:textId="696213F0" w:rsidR="00CA7477" w:rsidRPr="007B2BC3" w:rsidRDefault="00CA7477" w:rsidP="00BE4556">
            <w:pPr>
              <w:jc w:val="center"/>
              <w:rPr>
                <w:rFonts w:asciiTheme="minorHAnsi" w:hAnsiTheme="minorHAnsi"/>
                <w:sz w:val="19"/>
                <w:szCs w:val="19"/>
              </w:rPr>
            </w:pPr>
            <w:r w:rsidRPr="007B2BC3">
              <w:rPr>
                <w:rFonts w:asciiTheme="minorHAnsi" w:hAnsiTheme="minorHAnsi"/>
                <w:sz w:val="19"/>
                <w:szCs w:val="19"/>
              </w:rPr>
              <w:t>Coalition</w:t>
            </w:r>
          </w:p>
        </w:tc>
      </w:tr>
      <w:tr w:rsidR="00CA7477" w14:paraId="6241DBA6" w14:textId="77777777" w:rsidTr="00210234">
        <w:tc>
          <w:tcPr>
            <w:tcW w:w="1710" w:type="dxa"/>
            <w:vMerge/>
            <w:shd w:val="clear" w:color="auto" w:fill="E5DFEC"/>
          </w:tcPr>
          <w:p w14:paraId="2EA92816" w14:textId="77777777" w:rsidR="00CA7477" w:rsidRPr="00A007DE" w:rsidRDefault="00CA7477" w:rsidP="00BE4556">
            <w:pPr>
              <w:rPr>
                <w:sz w:val="20"/>
                <w:szCs w:val="20"/>
              </w:rPr>
            </w:pPr>
          </w:p>
        </w:tc>
        <w:tc>
          <w:tcPr>
            <w:tcW w:w="540" w:type="dxa"/>
          </w:tcPr>
          <w:p w14:paraId="2A73A0A5" w14:textId="690B3263" w:rsidR="00CA7477" w:rsidRPr="00414250" w:rsidRDefault="00CA7477" w:rsidP="005E223B">
            <w:pPr>
              <w:pStyle w:val="ListParagraph"/>
              <w:numPr>
                <w:ilvl w:val="0"/>
                <w:numId w:val="37"/>
              </w:numPr>
              <w:ind w:left="288"/>
              <w:rPr>
                <w:rFonts w:asciiTheme="minorHAnsi" w:eastAsia="Times New Roman" w:hAnsiTheme="minorHAnsi" w:cs="Times New Roman"/>
                <w:b/>
                <w:sz w:val="18"/>
                <w:szCs w:val="18"/>
              </w:rPr>
            </w:pPr>
          </w:p>
        </w:tc>
        <w:tc>
          <w:tcPr>
            <w:tcW w:w="9810" w:type="dxa"/>
          </w:tcPr>
          <w:p w14:paraId="1C807D5C" w14:textId="0F087D32" w:rsidR="00CA7477" w:rsidRPr="007B2BC3" w:rsidRDefault="00CA7477" w:rsidP="000828AF">
            <w:pPr>
              <w:rPr>
                <w:rFonts w:asciiTheme="minorHAnsi" w:hAnsiTheme="minorHAnsi"/>
                <w:color w:val="auto"/>
                <w:sz w:val="19"/>
                <w:szCs w:val="19"/>
              </w:rPr>
            </w:pPr>
            <w:r w:rsidRPr="007B2BC3">
              <w:rPr>
                <w:rFonts w:asciiTheme="minorHAnsi" w:eastAsia="Times New Roman" w:hAnsiTheme="minorHAnsi" w:cs="Times New Roman"/>
                <w:b/>
                <w:color w:val="auto"/>
                <w:sz w:val="19"/>
                <w:szCs w:val="19"/>
              </w:rPr>
              <w:t>Inter-Organizational Task Force</w:t>
            </w:r>
            <w:r w:rsidRPr="007B2BC3">
              <w:rPr>
                <w:rFonts w:asciiTheme="minorHAnsi" w:eastAsia="Times New Roman" w:hAnsiTheme="minorHAnsi" w:cs="Times New Roman"/>
                <w:color w:val="auto"/>
                <w:sz w:val="19"/>
                <w:szCs w:val="19"/>
              </w:rPr>
              <w:t xml:space="preserve"> is focused on Academic Credentialing and Experiential Learning to identify strategies for capturing potential skills and talents not included in the traditional digital record.</w:t>
            </w:r>
          </w:p>
        </w:tc>
        <w:tc>
          <w:tcPr>
            <w:tcW w:w="2250" w:type="dxa"/>
          </w:tcPr>
          <w:p w14:paraId="0855E514" w14:textId="5CD26DFB" w:rsidR="00CA7477" w:rsidRPr="007B2BC3" w:rsidRDefault="00CA7477" w:rsidP="000817F2">
            <w:pPr>
              <w:jc w:val="center"/>
              <w:rPr>
                <w:rFonts w:asciiTheme="minorHAnsi" w:hAnsiTheme="minorHAnsi"/>
                <w:sz w:val="19"/>
                <w:szCs w:val="19"/>
              </w:rPr>
            </w:pPr>
            <w:r w:rsidRPr="007B2BC3">
              <w:rPr>
                <w:rFonts w:asciiTheme="minorHAnsi" w:eastAsia="Times New Roman" w:hAnsiTheme="minorHAnsi" w:cs="Times New Roman"/>
                <w:sz w:val="19"/>
                <w:szCs w:val="19"/>
              </w:rPr>
              <w:t xml:space="preserve">Postsecondary Electronic Standards Council </w:t>
            </w:r>
          </w:p>
        </w:tc>
      </w:tr>
      <w:tr w:rsidR="00CA7477" w14:paraId="21BB6092" w14:textId="77777777" w:rsidTr="00210234">
        <w:tc>
          <w:tcPr>
            <w:tcW w:w="1710" w:type="dxa"/>
            <w:vMerge/>
            <w:shd w:val="clear" w:color="auto" w:fill="E5DFEC"/>
          </w:tcPr>
          <w:p w14:paraId="1F02E455" w14:textId="77777777" w:rsidR="00CA7477" w:rsidRPr="00A007DE" w:rsidRDefault="00CA7477" w:rsidP="00BE4556">
            <w:pPr>
              <w:rPr>
                <w:sz w:val="20"/>
                <w:szCs w:val="20"/>
              </w:rPr>
            </w:pPr>
          </w:p>
        </w:tc>
        <w:tc>
          <w:tcPr>
            <w:tcW w:w="540" w:type="dxa"/>
          </w:tcPr>
          <w:p w14:paraId="4CFE6493" w14:textId="77777777" w:rsidR="00CA7477" w:rsidRPr="00414250" w:rsidRDefault="00CA7477" w:rsidP="005E223B">
            <w:pPr>
              <w:pStyle w:val="ListParagraph"/>
              <w:numPr>
                <w:ilvl w:val="0"/>
                <w:numId w:val="37"/>
              </w:numPr>
              <w:ind w:left="288"/>
              <w:rPr>
                <w:rFonts w:asciiTheme="minorHAnsi" w:eastAsia="Times New Roman" w:hAnsiTheme="minorHAnsi" w:cs="Times New Roman"/>
                <w:b/>
                <w:sz w:val="18"/>
                <w:szCs w:val="18"/>
              </w:rPr>
            </w:pPr>
          </w:p>
        </w:tc>
        <w:tc>
          <w:tcPr>
            <w:tcW w:w="9810" w:type="dxa"/>
          </w:tcPr>
          <w:p w14:paraId="5665311F" w14:textId="276A1698" w:rsidR="00CA7477" w:rsidRPr="007B2BC3" w:rsidRDefault="00CA7477" w:rsidP="00BE4556">
            <w:pPr>
              <w:rPr>
                <w:rFonts w:asciiTheme="minorHAnsi" w:eastAsia="Times New Roman" w:hAnsiTheme="minorHAnsi" w:cs="Times New Roman"/>
                <w:b/>
                <w:color w:val="auto"/>
                <w:sz w:val="19"/>
                <w:szCs w:val="19"/>
              </w:rPr>
            </w:pPr>
            <w:r w:rsidRPr="007B2BC3">
              <w:rPr>
                <w:rFonts w:asciiTheme="minorHAnsi" w:eastAsia="Times New Roman" w:hAnsiTheme="minorHAnsi" w:cs="Times New Roman"/>
                <w:b/>
                <w:color w:val="auto"/>
                <w:sz w:val="19"/>
                <w:szCs w:val="19"/>
              </w:rPr>
              <w:t xml:space="preserve">Current Term Enrollment Estimates </w:t>
            </w:r>
            <w:r w:rsidRPr="007B2BC3">
              <w:rPr>
                <w:rFonts w:asciiTheme="minorHAnsi" w:eastAsia="Times New Roman" w:hAnsiTheme="minorHAnsi" w:cs="Times New Roman"/>
                <w:color w:val="auto"/>
                <w:sz w:val="19"/>
                <w:szCs w:val="19"/>
              </w:rPr>
              <w:t>published in December and May provide institutions and the education community with a view of current enrollment trends.</w:t>
            </w:r>
            <w:r w:rsidRPr="007B2BC3">
              <w:rPr>
                <w:rFonts w:asciiTheme="minorHAnsi" w:hAnsiTheme="minorHAnsi"/>
                <w:color w:val="auto"/>
                <w:sz w:val="19"/>
                <w:szCs w:val="19"/>
              </w:rPr>
              <w:t xml:space="preserve">  </w:t>
            </w:r>
            <w:r w:rsidRPr="007B2BC3">
              <w:rPr>
                <w:rFonts w:asciiTheme="minorHAnsi" w:eastAsia="Times New Roman" w:hAnsiTheme="minorHAnsi" w:cs="Times New Roman"/>
                <w:b/>
                <w:color w:val="auto"/>
                <w:sz w:val="19"/>
                <w:szCs w:val="19"/>
              </w:rPr>
              <w:t>StudentTracker</w:t>
            </w:r>
            <w:r w:rsidRPr="007B2BC3">
              <w:rPr>
                <w:rFonts w:asciiTheme="minorHAnsi" w:eastAsia="Times New Roman" w:hAnsiTheme="minorHAnsi" w:cs="Times New Roman"/>
                <w:color w:val="auto"/>
                <w:sz w:val="19"/>
                <w:szCs w:val="19"/>
              </w:rPr>
              <w:t xml:space="preserve"> enables secondary and postsecondary institutions, outreach organizations, States and other education organizations to understand student outcomes for their populations. </w:t>
            </w:r>
            <w:r w:rsidRPr="007B2BC3">
              <w:rPr>
                <w:rFonts w:asciiTheme="minorHAnsi" w:eastAsia="Times New Roman" w:hAnsiTheme="minorHAnsi" w:cs="Times New Roman"/>
                <w:b/>
                <w:color w:val="auto"/>
                <w:sz w:val="19"/>
                <w:szCs w:val="19"/>
              </w:rPr>
              <w:t>Signature &amp; Snapshot reports</w:t>
            </w:r>
            <w:r w:rsidRPr="007B2BC3">
              <w:rPr>
                <w:rFonts w:asciiTheme="minorHAnsi" w:eastAsia="Times New Roman" w:hAnsiTheme="minorHAnsi" w:cs="Times New Roman"/>
                <w:color w:val="auto"/>
                <w:sz w:val="19"/>
                <w:szCs w:val="19"/>
              </w:rPr>
              <w:t xml:space="preserve"> provide timely, national view of student educational pathways </w:t>
            </w:r>
          </w:p>
        </w:tc>
        <w:tc>
          <w:tcPr>
            <w:tcW w:w="2250" w:type="dxa"/>
          </w:tcPr>
          <w:p w14:paraId="031A4450" w14:textId="7A5A4B58" w:rsidR="00CA7477" w:rsidRPr="007B2BC3" w:rsidRDefault="00CA7477" w:rsidP="00BE4556">
            <w:pPr>
              <w:jc w:val="center"/>
              <w:rPr>
                <w:rFonts w:asciiTheme="minorHAnsi" w:hAnsiTheme="minorHAnsi"/>
                <w:sz w:val="19"/>
                <w:szCs w:val="19"/>
              </w:rPr>
            </w:pPr>
            <w:r w:rsidRPr="007B2BC3">
              <w:rPr>
                <w:rFonts w:asciiTheme="minorHAnsi" w:hAnsiTheme="minorHAnsi"/>
                <w:sz w:val="19"/>
                <w:szCs w:val="19"/>
              </w:rPr>
              <w:t>National Student Clearinghouse</w:t>
            </w:r>
          </w:p>
        </w:tc>
      </w:tr>
      <w:tr w:rsidR="00CA7477" w14:paraId="359B1A15" w14:textId="77777777" w:rsidTr="00CC7025">
        <w:trPr>
          <w:trHeight w:val="1106"/>
        </w:trPr>
        <w:tc>
          <w:tcPr>
            <w:tcW w:w="1710" w:type="dxa"/>
            <w:vMerge/>
            <w:shd w:val="clear" w:color="auto" w:fill="E5DFEC"/>
          </w:tcPr>
          <w:p w14:paraId="13944FAA" w14:textId="77777777" w:rsidR="00CA7477" w:rsidRPr="00A007DE" w:rsidRDefault="00CA7477" w:rsidP="00BE4556">
            <w:pPr>
              <w:rPr>
                <w:sz w:val="20"/>
                <w:szCs w:val="20"/>
              </w:rPr>
            </w:pPr>
          </w:p>
        </w:tc>
        <w:tc>
          <w:tcPr>
            <w:tcW w:w="540" w:type="dxa"/>
          </w:tcPr>
          <w:p w14:paraId="3BC0F6DD" w14:textId="6D98EDA8" w:rsidR="00CA7477" w:rsidRPr="00414250" w:rsidRDefault="00CA7477" w:rsidP="005E223B">
            <w:pPr>
              <w:pStyle w:val="ListParagraph"/>
              <w:numPr>
                <w:ilvl w:val="0"/>
                <w:numId w:val="37"/>
              </w:numPr>
              <w:ind w:left="288"/>
              <w:rPr>
                <w:rFonts w:asciiTheme="minorHAnsi" w:eastAsia="Times New Roman" w:hAnsiTheme="minorHAnsi" w:cs="Times New Roman"/>
                <w:b/>
                <w:sz w:val="18"/>
                <w:szCs w:val="18"/>
              </w:rPr>
            </w:pPr>
          </w:p>
        </w:tc>
        <w:tc>
          <w:tcPr>
            <w:tcW w:w="98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4CB4869" w14:textId="6B2DA6C6" w:rsidR="00CA7477" w:rsidRPr="007B2BC3" w:rsidRDefault="00CA7477" w:rsidP="00BE4556">
            <w:pPr>
              <w:ind w:left="80"/>
              <w:rPr>
                <w:rFonts w:asciiTheme="minorHAnsi" w:hAnsiTheme="minorHAnsi"/>
                <w:color w:val="auto"/>
                <w:sz w:val="19"/>
                <w:szCs w:val="19"/>
              </w:rPr>
            </w:pPr>
            <w:r w:rsidRPr="007B2BC3">
              <w:rPr>
                <w:rFonts w:asciiTheme="minorHAnsi" w:eastAsia="Times New Roman" w:hAnsiTheme="minorHAnsi" w:cs="Times New Roman"/>
                <w:color w:val="auto"/>
                <w:sz w:val="19"/>
                <w:szCs w:val="19"/>
              </w:rPr>
              <w:t xml:space="preserve">Established 7 MOU and data agreements with states and is working with numerous other governors’ offices on implementation of </w:t>
            </w:r>
            <w:r w:rsidRPr="007B2BC3">
              <w:rPr>
                <w:rFonts w:asciiTheme="minorHAnsi" w:eastAsia="Times New Roman" w:hAnsiTheme="minorHAnsi" w:cs="Times New Roman"/>
                <w:b/>
                <w:color w:val="auto"/>
                <w:sz w:val="19"/>
                <w:szCs w:val="19"/>
              </w:rPr>
              <w:t>systems to measure degree quality and project education demand.</w:t>
            </w:r>
          </w:p>
        </w:tc>
        <w:tc>
          <w:tcPr>
            <w:tcW w:w="2250" w:type="dxa"/>
          </w:tcPr>
          <w:p w14:paraId="35A5D2F7" w14:textId="5C6CBC26" w:rsidR="00CA7477" w:rsidRPr="007B2BC3" w:rsidRDefault="00CA7477" w:rsidP="00B46471">
            <w:pPr>
              <w:jc w:val="center"/>
              <w:rPr>
                <w:rFonts w:asciiTheme="minorHAnsi" w:hAnsiTheme="minorHAnsi"/>
                <w:sz w:val="19"/>
                <w:szCs w:val="19"/>
              </w:rPr>
            </w:pPr>
            <w:r w:rsidRPr="007B2BC3">
              <w:rPr>
                <w:rFonts w:asciiTheme="minorHAnsi" w:hAnsiTheme="minorHAnsi"/>
                <w:sz w:val="19"/>
                <w:szCs w:val="19"/>
              </w:rPr>
              <w:t>Georgetown University Center on Education &amp;  the Workforce -- Gates, Lumina &amp; Joyce Foundations</w:t>
            </w:r>
          </w:p>
        </w:tc>
      </w:tr>
      <w:tr w:rsidR="00CA7477" w14:paraId="41C03619" w14:textId="77777777" w:rsidTr="00CC7025">
        <w:trPr>
          <w:trHeight w:val="1106"/>
        </w:trPr>
        <w:tc>
          <w:tcPr>
            <w:tcW w:w="1710" w:type="dxa"/>
            <w:vMerge/>
            <w:shd w:val="clear" w:color="auto" w:fill="E5DFEC"/>
          </w:tcPr>
          <w:p w14:paraId="75297A85" w14:textId="77777777" w:rsidR="00CA7477" w:rsidRPr="00A007DE" w:rsidRDefault="00CA7477" w:rsidP="00BE4556">
            <w:pPr>
              <w:rPr>
                <w:sz w:val="20"/>
                <w:szCs w:val="20"/>
              </w:rPr>
            </w:pPr>
          </w:p>
        </w:tc>
        <w:tc>
          <w:tcPr>
            <w:tcW w:w="540" w:type="dxa"/>
          </w:tcPr>
          <w:p w14:paraId="534E2B17" w14:textId="77777777" w:rsidR="00CA7477" w:rsidRPr="00414250" w:rsidRDefault="00CA7477" w:rsidP="005E223B">
            <w:pPr>
              <w:pStyle w:val="ListParagraph"/>
              <w:numPr>
                <w:ilvl w:val="0"/>
                <w:numId w:val="37"/>
              </w:numPr>
              <w:ind w:left="288"/>
              <w:rPr>
                <w:rFonts w:asciiTheme="minorHAnsi" w:eastAsia="Times New Roman" w:hAnsiTheme="minorHAnsi" w:cs="Times New Roman"/>
                <w:b/>
                <w:sz w:val="18"/>
                <w:szCs w:val="18"/>
              </w:rPr>
            </w:pPr>
          </w:p>
        </w:tc>
        <w:tc>
          <w:tcPr>
            <w:tcW w:w="98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8D7E50C" w14:textId="20E84373" w:rsidR="00CA7477" w:rsidRPr="007B2BC3" w:rsidRDefault="00CA7477" w:rsidP="00CA7477">
            <w:pPr>
              <w:rPr>
                <w:rFonts w:asciiTheme="minorHAnsi" w:eastAsia="Times New Roman" w:hAnsiTheme="minorHAnsi" w:cs="Times New Roman"/>
                <w:b/>
                <w:sz w:val="19"/>
                <w:szCs w:val="19"/>
              </w:rPr>
            </w:pPr>
            <w:r w:rsidRPr="007B2BC3">
              <w:rPr>
                <w:rFonts w:asciiTheme="minorHAnsi" w:eastAsia="Times New Roman" w:hAnsiTheme="minorHAnsi" w:cs="Times New Roman"/>
                <w:b/>
                <w:sz w:val="19"/>
                <w:szCs w:val="19"/>
              </w:rPr>
              <w:t xml:space="preserve">Workforce Credentials Coalition (WCC)   </w:t>
            </w:r>
            <w:r w:rsidRPr="007B2BC3">
              <w:rPr>
                <w:rFonts w:asciiTheme="minorHAnsi" w:eastAsia="Times New Roman" w:hAnsiTheme="minorHAnsi" w:cs="Times New Roman"/>
                <w:sz w:val="19"/>
                <w:szCs w:val="19"/>
              </w:rPr>
              <w:t>The Workforce Credentials Coalition is a coalition of twenty states that are working together to improve alignment between academic and industry-based credentials.</w:t>
            </w:r>
            <w:r w:rsidRPr="007B2BC3">
              <w:rPr>
                <w:rFonts w:asciiTheme="minorHAnsi" w:hAnsiTheme="minorHAnsi"/>
                <w:sz w:val="19"/>
                <w:szCs w:val="19"/>
              </w:rPr>
              <w:t xml:space="preserve"> </w:t>
            </w:r>
            <w:r w:rsidRPr="007B2BC3">
              <w:rPr>
                <w:rFonts w:asciiTheme="minorHAnsi" w:eastAsia="Times New Roman" w:hAnsiTheme="minorHAnsi" w:cs="Times New Roman"/>
                <w:sz w:val="19"/>
                <w:szCs w:val="19"/>
              </w:rPr>
              <w:t xml:space="preserve"> The Coalition is establishing joint data standards, data sharing agreements, and a single data repository, so that information on certification outcomes can be more easily shared with community colleges across the nation. </w:t>
            </w:r>
            <w:r w:rsidRPr="007B2BC3">
              <w:rPr>
                <w:rFonts w:asciiTheme="minorHAnsi" w:eastAsia="Times New Roman" w:hAnsiTheme="minorHAnsi" w:cs="Times New Roman"/>
                <w:sz w:val="19"/>
                <w:szCs w:val="19"/>
                <w:u w:val="single"/>
              </w:rPr>
              <w:t>Organizations:</w:t>
            </w:r>
            <w:r w:rsidRPr="007B2BC3">
              <w:rPr>
                <w:rFonts w:asciiTheme="minorHAnsi" w:eastAsia="Times New Roman" w:hAnsiTheme="minorHAnsi" w:cs="Times New Roman"/>
                <w:sz w:val="19"/>
                <w:szCs w:val="19"/>
              </w:rPr>
              <w:t xml:space="preserve">  Leads:  The California Community Colleges Chancellor's Office and the North Carolina Community College System. lead this coalition </w:t>
            </w:r>
          </w:p>
        </w:tc>
        <w:tc>
          <w:tcPr>
            <w:tcW w:w="2250" w:type="dxa"/>
          </w:tcPr>
          <w:p w14:paraId="0D7AF972" w14:textId="77777777" w:rsidR="00CA7477" w:rsidRPr="007B2BC3" w:rsidRDefault="00CA7477" w:rsidP="00B46471">
            <w:pPr>
              <w:jc w:val="center"/>
              <w:rPr>
                <w:rFonts w:asciiTheme="minorHAnsi" w:hAnsiTheme="minorHAnsi"/>
                <w:sz w:val="19"/>
                <w:szCs w:val="19"/>
              </w:rPr>
            </w:pPr>
          </w:p>
        </w:tc>
      </w:tr>
      <w:tr w:rsidR="00B32283" w14:paraId="6D9170E7" w14:textId="77777777" w:rsidTr="001E042B">
        <w:trPr>
          <w:trHeight w:val="1106"/>
        </w:trPr>
        <w:tc>
          <w:tcPr>
            <w:tcW w:w="1710" w:type="dxa"/>
            <w:vMerge/>
            <w:shd w:val="clear" w:color="auto" w:fill="E5DFEC"/>
          </w:tcPr>
          <w:p w14:paraId="0810B236" w14:textId="77777777" w:rsidR="00B32283" w:rsidRPr="00A007DE" w:rsidRDefault="00B32283" w:rsidP="00BE4556">
            <w:pPr>
              <w:rPr>
                <w:sz w:val="20"/>
                <w:szCs w:val="20"/>
              </w:rPr>
            </w:pPr>
          </w:p>
        </w:tc>
        <w:tc>
          <w:tcPr>
            <w:tcW w:w="540" w:type="dxa"/>
          </w:tcPr>
          <w:p w14:paraId="03917971" w14:textId="77777777" w:rsidR="00B32283" w:rsidRPr="00414250" w:rsidRDefault="00B32283" w:rsidP="005E223B">
            <w:pPr>
              <w:pStyle w:val="ListParagraph"/>
              <w:numPr>
                <w:ilvl w:val="0"/>
                <w:numId w:val="37"/>
              </w:numPr>
              <w:ind w:left="288"/>
              <w:rPr>
                <w:rFonts w:asciiTheme="minorHAnsi" w:eastAsia="Times New Roman" w:hAnsiTheme="minorHAnsi" w:cs="Times New Roman"/>
                <w:b/>
                <w:sz w:val="18"/>
                <w:szCs w:val="18"/>
              </w:rPr>
            </w:pPr>
          </w:p>
        </w:tc>
        <w:tc>
          <w:tcPr>
            <w:tcW w:w="98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EECA3E3" w14:textId="7FA53A8F" w:rsidR="00B32283" w:rsidRPr="007B2BC3" w:rsidRDefault="00B32283" w:rsidP="00CA7477">
            <w:pPr>
              <w:rPr>
                <w:rFonts w:asciiTheme="minorHAnsi" w:eastAsia="Times New Roman" w:hAnsiTheme="minorHAnsi" w:cs="Times New Roman"/>
                <w:b/>
                <w:sz w:val="19"/>
                <w:szCs w:val="19"/>
              </w:rPr>
            </w:pPr>
            <w:r w:rsidRPr="007B2BC3">
              <w:rPr>
                <w:rFonts w:asciiTheme="minorHAnsi" w:eastAsia="Times New Roman" w:hAnsiTheme="minorHAnsi" w:cs="Times New Roman"/>
                <w:b/>
                <w:sz w:val="19"/>
                <w:szCs w:val="19"/>
              </w:rPr>
              <w:t xml:space="preserve">Technical Interoperability Project (TIP)   </w:t>
            </w:r>
            <w:r w:rsidRPr="007B2BC3">
              <w:rPr>
                <w:rFonts w:asciiTheme="minorHAnsi" w:eastAsia="Times New Roman" w:hAnsiTheme="minorHAnsi" w:cs="Times New Roman"/>
                <w:sz w:val="19"/>
                <w:szCs w:val="19"/>
              </w:rPr>
              <w:t xml:space="preserve">A competency-based technology solution that is identifying the needs of  institutions moving toward CBE and the vendors who can fill those needs. Using a twenty-seven question survey, TIP  is analyzing data to find common issues across program types and software vendors.  </w:t>
            </w:r>
            <w:r w:rsidRPr="007B2BC3">
              <w:rPr>
                <w:rFonts w:asciiTheme="minorHAnsi" w:eastAsia="Times New Roman" w:hAnsiTheme="minorHAnsi" w:cs="Times New Roman"/>
                <w:sz w:val="19"/>
                <w:szCs w:val="19"/>
                <w:u w:val="single"/>
              </w:rPr>
              <w:t>Organizations:</w:t>
            </w:r>
            <w:r w:rsidRPr="007B2BC3">
              <w:rPr>
                <w:rFonts w:asciiTheme="minorHAnsi" w:eastAsia="Times New Roman" w:hAnsiTheme="minorHAnsi" w:cs="Times New Roman"/>
                <w:sz w:val="19"/>
                <w:szCs w:val="19"/>
              </w:rPr>
              <w:t xml:space="preserve">  Public Agenda, funded by Gates Foundation</w:t>
            </w:r>
          </w:p>
        </w:tc>
        <w:tc>
          <w:tcPr>
            <w:tcW w:w="2250" w:type="dxa"/>
          </w:tcPr>
          <w:p w14:paraId="57583260" w14:textId="77777777" w:rsidR="00B32283" w:rsidRPr="007B2BC3" w:rsidRDefault="00B32283" w:rsidP="00B46471">
            <w:pPr>
              <w:jc w:val="center"/>
              <w:rPr>
                <w:rFonts w:asciiTheme="minorHAnsi" w:hAnsiTheme="minorHAnsi"/>
                <w:sz w:val="19"/>
                <w:szCs w:val="19"/>
              </w:rPr>
            </w:pPr>
          </w:p>
        </w:tc>
      </w:tr>
      <w:tr w:rsidR="001E042B" w14:paraId="4760D459" w14:textId="77777777" w:rsidTr="001E042B">
        <w:trPr>
          <w:trHeight w:val="1106"/>
        </w:trPr>
        <w:tc>
          <w:tcPr>
            <w:tcW w:w="1710" w:type="dxa"/>
            <w:vMerge/>
            <w:shd w:val="clear" w:color="auto" w:fill="E5DFEC"/>
          </w:tcPr>
          <w:p w14:paraId="2C96F99A" w14:textId="77777777" w:rsidR="001E042B" w:rsidRPr="00A007DE" w:rsidRDefault="001E042B" w:rsidP="00BE4556">
            <w:pPr>
              <w:rPr>
                <w:sz w:val="20"/>
                <w:szCs w:val="20"/>
              </w:rPr>
            </w:pPr>
          </w:p>
        </w:tc>
        <w:tc>
          <w:tcPr>
            <w:tcW w:w="540" w:type="dxa"/>
          </w:tcPr>
          <w:p w14:paraId="36F25DEA" w14:textId="77777777" w:rsidR="001E042B" w:rsidRPr="00414250" w:rsidRDefault="001E042B" w:rsidP="005E223B">
            <w:pPr>
              <w:pStyle w:val="ListParagraph"/>
              <w:numPr>
                <w:ilvl w:val="0"/>
                <w:numId w:val="37"/>
              </w:numPr>
              <w:ind w:left="288"/>
              <w:rPr>
                <w:rFonts w:asciiTheme="minorHAnsi" w:eastAsia="Times New Roman" w:hAnsiTheme="minorHAnsi" w:cs="Times New Roman"/>
                <w:b/>
                <w:sz w:val="18"/>
                <w:szCs w:val="18"/>
              </w:rPr>
            </w:pPr>
          </w:p>
        </w:tc>
        <w:tc>
          <w:tcPr>
            <w:tcW w:w="98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B5CA953" w14:textId="73485DDE" w:rsidR="001E042B" w:rsidRPr="007B2BC3" w:rsidRDefault="001E042B" w:rsidP="001E042B">
            <w:pPr>
              <w:rPr>
                <w:rFonts w:eastAsia="Times New Roman" w:cs="Times New Roman"/>
                <w:sz w:val="19"/>
                <w:szCs w:val="19"/>
              </w:rPr>
            </w:pPr>
            <w:r w:rsidRPr="007B2BC3">
              <w:rPr>
                <w:b/>
                <w:color w:val="211F1F"/>
                <w:spacing w:val="15"/>
                <w:sz w:val="19"/>
                <w:szCs w:val="19"/>
                <w:shd w:val="clear" w:color="auto" w:fill="FFFFFF"/>
              </w:rPr>
              <w:t>Education Performance Data System</w:t>
            </w:r>
            <w:r w:rsidRPr="007B2BC3">
              <w:rPr>
                <w:color w:val="211F1F"/>
                <w:spacing w:val="15"/>
                <w:sz w:val="19"/>
                <w:szCs w:val="19"/>
                <w:shd w:val="clear" w:color="auto" w:fill="FFFFFF"/>
              </w:rPr>
              <w:t>-</w:t>
            </w:r>
            <w:r w:rsidRPr="007B2BC3">
              <w:rPr>
                <w:rFonts w:eastAsia="Times New Roman" w:cs="Times New Roman"/>
                <w:sz w:val="19"/>
                <w:szCs w:val="19"/>
              </w:rPr>
              <w:t xml:space="preserve">The National Association of Manufacturers and the Manufacturing Institute, in partnership with the National Student Clearinghouse and the U.S. Census Bureau, and with initial funding from USA Funds, are designing a system to match student education records with employment and wage data and third-party credential attainment records.  </w:t>
            </w:r>
          </w:p>
          <w:p w14:paraId="0B09B31A" w14:textId="77777777" w:rsidR="001E042B" w:rsidRPr="007B2BC3" w:rsidRDefault="001E042B" w:rsidP="00CA7477">
            <w:pPr>
              <w:rPr>
                <w:rFonts w:asciiTheme="minorHAnsi" w:eastAsia="Times New Roman" w:hAnsiTheme="minorHAnsi" w:cs="Times New Roman"/>
                <w:b/>
                <w:sz w:val="19"/>
                <w:szCs w:val="19"/>
              </w:rPr>
            </w:pPr>
          </w:p>
        </w:tc>
        <w:tc>
          <w:tcPr>
            <w:tcW w:w="2250" w:type="dxa"/>
          </w:tcPr>
          <w:p w14:paraId="0E289ECD" w14:textId="77777777" w:rsidR="001E042B" w:rsidRPr="007B2BC3" w:rsidRDefault="001E042B" w:rsidP="00B46471">
            <w:pPr>
              <w:jc w:val="center"/>
              <w:rPr>
                <w:rFonts w:asciiTheme="minorHAnsi" w:hAnsiTheme="minorHAnsi"/>
                <w:sz w:val="19"/>
                <w:szCs w:val="19"/>
              </w:rPr>
            </w:pPr>
          </w:p>
        </w:tc>
      </w:tr>
      <w:tr w:rsidR="00CA7477" w14:paraId="7E63C402" w14:textId="77777777" w:rsidTr="001E042B">
        <w:trPr>
          <w:trHeight w:val="1043"/>
        </w:trPr>
        <w:tc>
          <w:tcPr>
            <w:tcW w:w="1710" w:type="dxa"/>
            <w:vMerge/>
            <w:shd w:val="clear" w:color="auto" w:fill="E5DFEC"/>
          </w:tcPr>
          <w:p w14:paraId="1A4474FE" w14:textId="77777777" w:rsidR="00CA7477" w:rsidRPr="00A007DE" w:rsidRDefault="00CA7477" w:rsidP="00BE4556">
            <w:pPr>
              <w:rPr>
                <w:sz w:val="20"/>
                <w:szCs w:val="20"/>
              </w:rPr>
            </w:pPr>
          </w:p>
        </w:tc>
        <w:tc>
          <w:tcPr>
            <w:tcW w:w="540" w:type="dxa"/>
          </w:tcPr>
          <w:p w14:paraId="4F48F430" w14:textId="1EE2433D" w:rsidR="00CA7477" w:rsidRPr="00B81464" w:rsidRDefault="00CA7477" w:rsidP="005E223B">
            <w:pPr>
              <w:pStyle w:val="ListParagraph"/>
              <w:numPr>
                <w:ilvl w:val="0"/>
                <w:numId w:val="37"/>
              </w:numPr>
              <w:ind w:left="288"/>
              <w:rPr>
                <w:rFonts w:asciiTheme="minorHAnsi" w:eastAsia="Times New Roman" w:hAnsiTheme="minorHAnsi" w:cs="Times New Roman"/>
                <w:b/>
                <w:sz w:val="20"/>
                <w:szCs w:val="20"/>
              </w:rPr>
            </w:pPr>
          </w:p>
        </w:tc>
        <w:tc>
          <w:tcPr>
            <w:tcW w:w="981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3CCCACF4" w14:textId="77777777" w:rsidR="00CA7477" w:rsidRPr="007B2BC3" w:rsidRDefault="00CA7477" w:rsidP="00BE4556">
            <w:pPr>
              <w:ind w:left="170" w:hanging="90"/>
              <w:rPr>
                <w:rFonts w:asciiTheme="minorHAnsi" w:hAnsiTheme="minorHAnsi"/>
                <w:color w:val="auto"/>
                <w:sz w:val="19"/>
                <w:szCs w:val="19"/>
              </w:rPr>
            </w:pPr>
            <w:r w:rsidRPr="007B2BC3">
              <w:rPr>
                <w:rFonts w:asciiTheme="minorHAnsi" w:eastAsia="Times New Roman" w:hAnsiTheme="minorHAnsi" w:cs="Times New Roman"/>
                <w:color w:val="auto"/>
                <w:sz w:val="19"/>
                <w:szCs w:val="19"/>
              </w:rPr>
              <w:t xml:space="preserve">Works with private data suppliers including Burning Glass Technologies and the National Association of State Workforce Agencies (NASWA) in the use of </w:t>
            </w:r>
            <w:r w:rsidRPr="007B2BC3">
              <w:rPr>
                <w:rFonts w:asciiTheme="minorHAnsi" w:eastAsia="Times New Roman" w:hAnsiTheme="minorHAnsi" w:cs="Times New Roman"/>
                <w:b/>
                <w:color w:val="auto"/>
                <w:sz w:val="19"/>
                <w:szCs w:val="19"/>
              </w:rPr>
              <w:t>real time job ads data</w:t>
            </w:r>
            <w:r w:rsidRPr="007B2BC3">
              <w:rPr>
                <w:rFonts w:asciiTheme="minorHAnsi" w:eastAsia="Times New Roman" w:hAnsiTheme="minorHAnsi" w:cs="Times New Roman"/>
                <w:color w:val="auto"/>
                <w:sz w:val="19"/>
                <w:szCs w:val="19"/>
              </w:rPr>
              <w:t xml:space="preserve">. See Reports: Online College Labor Market and Ranking the States </w:t>
            </w:r>
            <w:r w:rsidRPr="007B2BC3">
              <w:rPr>
                <w:rFonts w:asciiTheme="minorHAnsi" w:eastAsia="Times New Roman" w:hAnsiTheme="minorHAnsi" w:cs="Times New Roman"/>
                <w:b/>
                <w:color w:val="auto"/>
                <w:sz w:val="19"/>
                <w:szCs w:val="19"/>
              </w:rPr>
              <w:t xml:space="preserve"> </w:t>
            </w:r>
          </w:p>
        </w:tc>
        <w:tc>
          <w:tcPr>
            <w:tcW w:w="2250" w:type="dxa"/>
          </w:tcPr>
          <w:p w14:paraId="1313EC7A" w14:textId="1BB0FEC2" w:rsidR="00CA7477" w:rsidRPr="007B2BC3" w:rsidRDefault="00CA7477" w:rsidP="00B46471">
            <w:pPr>
              <w:jc w:val="center"/>
              <w:rPr>
                <w:rFonts w:asciiTheme="minorHAnsi" w:hAnsiTheme="minorHAnsi"/>
                <w:sz w:val="19"/>
                <w:szCs w:val="19"/>
              </w:rPr>
            </w:pPr>
            <w:r w:rsidRPr="007B2BC3">
              <w:rPr>
                <w:rFonts w:asciiTheme="minorHAnsi" w:eastAsia="Times New Roman" w:hAnsiTheme="minorHAnsi" w:cs="Times New Roman"/>
                <w:sz w:val="19"/>
                <w:szCs w:val="19"/>
              </w:rPr>
              <w:t>Georgetown University Center on Education &amp; the Workforce -- Gates, Lumina &amp; Joyce Foundations</w:t>
            </w:r>
          </w:p>
        </w:tc>
      </w:tr>
      <w:tr w:rsidR="00CA7477" w14:paraId="00C55E2E" w14:textId="77777777" w:rsidTr="001E042B">
        <w:trPr>
          <w:trHeight w:val="1043"/>
        </w:trPr>
        <w:tc>
          <w:tcPr>
            <w:tcW w:w="1710" w:type="dxa"/>
            <w:vMerge w:val="restart"/>
            <w:shd w:val="clear" w:color="auto" w:fill="E5DFEC"/>
          </w:tcPr>
          <w:p w14:paraId="6F75BE8C" w14:textId="77777777" w:rsidR="00CA7477" w:rsidRDefault="00CA7477" w:rsidP="00BE4556">
            <w:pPr>
              <w:rPr>
                <w:rFonts w:asciiTheme="minorHAnsi" w:eastAsia="Times New Roman" w:hAnsiTheme="minorHAnsi" w:cs="Times New Roman"/>
                <w:sz w:val="20"/>
                <w:szCs w:val="20"/>
              </w:rPr>
            </w:pPr>
            <w:r w:rsidRPr="00983EED">
              <w:rPr>
                <w:rFonts w:asciiTheme="minorHAnsi" w:eastAsia="Times New Roman" w:hAnsiTheme="minorHAnsi" w:cs="Times New Roman"/>
                <w:sz w:val="20"/>
                <w:szCs w:val="20"/>
              </w:rPr>
              <w:t>Incorporate, generate and capture</w:t>
            </w:r>
          </w:p>
          <w:p w14:paraId="174BF981" w14:textId="0886178A" w:rsidR="00CA7477" w:rsidRDefault="00CA7477" w:rsidP="00BE4556">
            <w:pPr>
              <w:rPr>
                <w:rFonts w:asciiTheme="minorHAnsi" w:eastAsia="Times New Roman" w:hAnsiTheme="minorHAnsi" w:cs="Times New Roman"/>
                <w:sz w:val="20"/>
                <w:szCs w:val="20"/>
              </w:rPr>
            </w:pPr>
            <w:r w:rsidRPr="00983EED">
              <w:rPr>
                <w:rFonts w:asciiTheme="minorHAnsi" w:eastAsia="Times New Roman" w:hAnsiTheme="minorHAnsi" w:cs="Times New Roman"/>
                <w:sz w:val="20"/>
                <w:szCs w:val="20"/>
              </w:rPr>
              <w:t xml:space="preserve"> Increasing</w:t>
            </w:r>
          </w:p>
          <w:p w14:paraId="3D854755" w14:textId="58AF8C2C" w:rsidR="00CA7477" w:rsidRPr="00983EED" w:rsidRDefault="00CA7477" w:rsidP="00BE4556">
            <w:pPr>
              <w:rPr>
                <w:sz w:val="20"/>
                <w:szCs w:val="20"/>
              </w:rPr>
            </w:pPr>
            <w:r w:rsidRPr="00983EED">
              <w:rPr>
                <w:rFonts w:asciiTheme="minorHAnsi" w:eastAsia="Times New Roman" w:hAnsiTheme="minorHAnsi" w:cs="Times New Roman"/>
                <w:sz w:val="20"/>
                <w:szCs w:val="20"/>
              </w:rPr>
              <w:t xml:space="preserve"> levels of evidence</w:t>
            </w:r>
          </w:p>
        </w:tc>
        <w:tc>
          <w:tcPr>
            <w:tcW w:w="540" w:type="dxa"/>
          </w:tcPr>
          <w:p w14:paraId="3D0E5AE7" w14:textId="77777777" w:rsidR="00CA7477" w:rsidRPr="00B81464" w:rsidRDefault="00CA7477" w:rsidP="005E223B">
            <w:pPr>
              <w:pStyle w:val="ListParagraph"/>
              <w:numPr>
                <w:ilvl w:val="0"/>
                <w:numId w:val="37"/>
              </w:numPr>
              <w:ind w:left="288"/>
              <w:rPr>
                <w:rFonts w:asciiTheme="minorHAnsi" w:eastAsia="Times New Roman" w:hAnsiTheme="minorHAnsi" w:cs="Times New Roman"/>
                <w:b/>
                <w:sz w:val="20"/>
                <w:szCs w:val="20"/>
              </w:rPr>
            </w:pPr>
          </w:p>
        </w:tc>
        <w:tc>
          <w:tcPr>
            <w:tcW w:w="981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6AC22449" w14:textId="66BC7C42" w:rsidR="00CA7477" w:rsidRPr="007B2BC3" w:rsidRDefault="00CA7477" w:rsidP="00BE4556">
            <w:pPr>
              <w:ind w:left="170" w:hanging="90"/>
              <w:rPr>
                <w:rFonts w:asciiTheme="minorHAnsi" w:eastAsia="Times New Roman" w:hAnsiTheme="minorHAnsi" w:cs="Times New Roman"/>
                <w:color w:val="auto"/>
                <w:sz w:val="19"/>
                <w:szCs w:val="19"/>
              </w:rPr>
            </w:pPr>
            <w:r w:rsidRPr="007B2BC3">
              <w:rPr>
                <w:rFonts w:asciiTheme="minorHAnsi" w:eastAsia="Times New Roman" w:hAnsiTheme="minorHAnsi" w:cs="Times New Roman"/>
                <w:color w:val="auto"/>
                <w:sz w:val="19"/>
                <w:szCs w:val="19"/>
              </w:rPr>
              <w:t xml:space="preserve">Working to evaluate noncredit workforce-oriented training through state-level transcript and wage analysis in several states:  </w:t>
            </w:r>
            <w:hyperlink r:id="rId86" w:history="1">
              <w:r w:rsidRPr="007B2BC3">
                <w:rPr>
                  <w:rStyle w:val="Hyperlink"/>
                  <w:rFonts w:asciiTheme="minorHAnsi" w:eastAsia="Times New Roman" w:hAnsiTheme="minorHAnsi" w:cs="Times New Roman"/>
                  <w:color w:val="auto"/>
                  <w:sz w:val="19"/>
                  <w:szCs w:val="19"/>
                </w:rPr>
                <w:t xml:space="preserve">https://cew.georgetown.edu/ </w:t>
              </w:r>
            </w:hyperlink>
            <w:r w:rsidRPr="007B2BC3">
              <w:rPr>
                <w:rFonts w:asciiTheme="minorHAnsi" w:hAnsiTheme="minorHAnsi"/>
                <w:color w:val="auto"/>
                <w:sz w:val="19"/>
                <w:szCs w:val="19"/>
              </w:rPr>
              <w:t xml:space="preserve"> </w:t>
            </w:r>
          </w:p>
        </w:tc>
        <w:tc>
          <w:tcPr>
            <w:tcW w:w="2250" w:type="dxa"/>
          </w:tcPr>
          <w:p w14:paraId="34F6F297" w14:textId="67F7E4F0" w:rsidR="00CA7477" w:rsidRPr="007B2BC3" w:rsidRDefault="00CA7477" w:rsidP="00B46471">
            <w:pPr>
              <w:jc w:val="center"/>
              <w:rPr>
                <w:rFonts w:asciiTheme="minorHAnsi" w:eastAsia="Times New Roman" w:hAnsiTheme="minorHAnsi" w:cs="Times New Roman"/>
                <w:sz w:val="19"/>
                <w:szCs w:val="19"/>
              </w:rPr>
            </w:pPr>
            <w:r w:rsidRPr="007B2BC3">
              <w:rPr>
                <w:rFonts w:asciiTheme="minorHAnsi" w:eastAsia="Times New Roman" w:hAnsiTheme="minorHAnsi" w:cs="Times New Roman"/>
                <w:sz w:val="19"/>
                <w:szCs w:val="19"/>
              </w:rPr>
              <w:t>Georgetown University Center for Education &amp;  the Workforce -- Gates, Lumina &amp; Joyce Foundations, OCTAE</w:t>
            </w:r>
          </w:p>
        </w:tc>
      </w:tr>
      <w:tr w:rsidR="00CA7477" w14:paraId="587A1BD3" w14:textId="77777777" w:rsidTr="00CC7025">
        <w:trPr>
          <w:trHeight w:val="1043"/>
        </w:trPr>
        <w:tc>
          <w:tcPr>
            <w:tcW w:w="1710" w:type="dxa"/>
            <w:vMerge/>
            <w:shd w:val="clear" w:color="auto" w:fill="E5DFEC"/>
          </w:tcPr>
          <w:p w14:paraId="339FE3A0" w14:textId="77777777" w:rsidR="00CA7477" w:rsidRPr="00095690" w:rsidRDefault="00CA7477" w:rsidP="00BE4556">
            <w:pPr>
              <w:rPr>
                <w:rFonts w:asciiTheme="minorHAnsi" w:eastAsia="Times New Roman" w:hAnsiTheme="minorHAnsi" w:cs="Times New Roman"/>
                <w:sz w:val="20"/>
                <w:szCs w:val="20"/>
                <w:highlight w:val="yellow"/>
              </w:rPr>
            </w:pPr>
          </w:p>
        </w:tc>
        <w:tc>
          <w:tcPr>
            <w:tcW w:w="540" w:type="dxa"/>
          </w:tcPr>
          <w:p w14:paraId="17EC4592" w14:textId="77777777" w:rsidR="00CA7477" w:rsidRPr="00B81464" w:rsidRDefault="00CA7477" w:rsidP="005E223B">
            <w:pPr>
              <w:pStyle w:val="ListParagraph"/>
              <w:numPr>
                <w:ilvl w:val="0"/>
                <w:numId w:val="37"/>
              </w:numPr>
              <w:ind w:left="288"/>
              <w:rPr>
                <w:rFonts w:asciiTheme="minorHAnsi" w:eastAsia="Times New Roman" w:hAnsiTheme="minorHAnsi" w:cs="Times New Roman"/>
                <w:b/>
                <w:sz w:val="20"/>
                <w:szCs w:val="20"/>
              </w:rPr>
            </w:pPr>
          </w:p>
        </w:tc>
        <w:tc>
          <w:tcPr>
            <w:tcW w:w="98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E35C0B6" w14:textId="5F8A50C8" w:rsidR="00CA7477" w:rsidRPr="007B2BC3" w:rsidRDefault="00CA7477" w:rsidP="00BE4556">
            <w:pPr>
              <w:ind w:left="170" w:hanging="90"/>
              <w:rPr>
                <w:rFonts w:asciiTheme="minorHAnsi" w:eastAsia="Times New Roman" w:hAnsiTheme="minorHAnsi" w:cs="Times New Roman"/>
                <w:color w:val="auto"/>
                <w:sz w:val="19"/>
                <w:szCs w:val="19"/>
              </w:rPr>
            </w:pPr>
            <w:r w:rsidRPr="007B2BC3">
              <w:rPr>
                <w:rFonts w:asciiTheme="minorHAnsi" w:eastAsia="Times New Roman" w:hAnsiTheme="minorHAnsi" w:cs="Times New Roman"/>
                <w:b/>
                <w:color w:val="auto"/>
                <w:sz w:val="19"/>
                <w:szCs w:val="19"/>
              </w:rPr>
              <w:t xml:space="preserve">College and Career Readiness Evaluation Consortium </w:t>
            </w:r>
            <w:r w:rsidRPr="007B2BC3">
              <w:rPr>
                <w:rFonts w:asciiTheme="minorHAnsi" w:eastAsia="Times New Roman" w:hAnsiTheme="minorHAnsi" w:cs="Times New Roman"/>
                <w:color w:val="auto"/>
                <w:sz w:val="19"/>
                <w:szCs w:val="19"/>
              </w:rPr>
              <w:t>is creating a</w:t>
            </w:r>
            <w:r w:rsidRPr="007B2BC3">
              <w:rPr>
                <w:rFonts w:asciiTheme="minorHAnsi" w:eastAsia="Times New Roman" w:hAnsiTheme="minorHAnsi" w:cs="Times New Roman"/>
                <w:b/>
                <w:color w:val="auto"/>
                <w:sz w:val="19"/>
                <w:szCs w:val="19"/>
              </w:rPr>
              <w:t xml:space="preserve"> </w:t>
            </w:r>
            <w:r w:rsidRPr="007B2BC3">
              <w:rPr>
                <w:rFonts w:asciiTheme="minorHAnsi" w:eastAsia="Times New Roman" w:hAnsiTheme="minorHAnsi" w:cs="Times New Roman"/>
                <w:color w:val="auto"/>
                <w:sz w:val="19"/>
                <w:szCs w:val="19"/>
              </w:rPr>
              <w:t>repository opera</w:t>
            </w:r>
            <w:bookmarkStart w:id="1" w:name="_GoBack"/>
            <w:bookmarkEnd w:id="1"/>
            <w:r w:rsidRPr="007B2BC3">
              <w:rPr>
                <w:rFonts w:asciiTheme="minorHAnsi" w:eastAsia="Times New Roman" w:hAnsiTheme="minorHAnsi" w:cs="Times New Roman"/>
                <w:color w:val="auto"/>
                <w:sz w:val="19"/>
                <w:szCs w:val="19"/>
              </w:rPr>
              <w:t xml:space="preserve">ted by National Student Clearinghouse to assess impact of common interventions utilized across multiple Gear-Up participating states. </w:t>
            </w:r>
            <w:hyperlink r:id="rId87">
              <w:r w:rsidRPr="007B2BC3">
                <w:rPr>
                  <w:rFonts w:asciiTheme="minorHAnsi" w:eastAsia="Times New Roman" w:hAnsiTheme="minorHAnsi" w:cs="Times New Roman"/>
                  <w:color w:val="auto"/>
                  <w:sz w:val="19"/>
                  <w:szCs w:val="19"/>
                  <w:u w:val="single"/>
                </w:rPr>
                <w:t>http://www.edpartnerships.org/college-and-career-readiness-evaluation-consortium-ccrec</w:t>
              </w:r>
            </w:hyperlink>
          </w:p>
        </w:tc>
        <w:tc>
          <w:tcPr>
            <w:tcW w:w="2250" w:type="dxa"/>
          </w:tcPr>
          <w:p w14:paraId="4F2EFBAE" w14:textId="5849EE68" w:rsidR="00CA7477" w:rsidRPr="007B2BC3" w:rsidRDefault="00CA7477" w:rsidP="00B46471">
            <w:pPr>
              <w:jc w:val="center"/>
              <w:rPr>
                <w:rFonts w:asciiTheme="minorHAnsi" w:eastAsia="Times New Roman" w:hAnsiTheme="minorHAnsi" w:cs="Times New Roman"/>
                <w:sz w:val="19"/>
                <w:szCs w:val="19"/>
              </w:rPr>
            </w:pPr>
            <w:r w:rsidRPr="007B2BC3">
              <w:rPr>
                <w:rFonts w:asciiTheme="minorHAnsi" w:hAnsiTheme="minorHAnsi" w:cs="Times New Roman"/>
                <w:sz w:val="19"/>
                <w:szCs w:val="19"/>
              </w:rPr>
              <w:t>National Council for Community and Education Partnerships</w:t>
            </w:r>
          </w:p>
        </w:tc>
      </w:tr>
      <w:tr w:rsidR="00CA7477" w14:paraId="4FE65447" w14:textId="77777777" w:rsidTr="00CC7025">
        <w:trPr>
          <w:trHeight w:val="1043"/>
        </w:trPr>
        <w:tc>
          <w:tcPr>
            <w:tcW w:w="1710" w:type="dxa"/>
            <w:vMerge/>
            <w:shd w:val="clear" w:color="auto" w:fill="E5DFEC"/>
          </w:tcPr>
          <w:p w14:paraId="04ED76B5" w14:textId="77777777" w:rsidR="00CA7477" w:rsidRPr="00095690" w:rsidRDefault="00CA7477" w:rsidP="00BE4556">
            <w:pPr>
              <w:rPr>
                <w:rFonts w:asciiTheme="minorHAnsi" w:eastAsia="Times New Roman" w:hAnsiTheme="minorHAnsi" w:cs="Times New Roman"/>
                <w:sz w:val="20"/>
                <w:szCs w:val="20"/>
                <w:highlight w:val="yellow"/>
              </w:rPr>
            </w:pPr>
          </w:p>
        </w:tc>
        <w:tc>
          <w:tcPr>
            <w:tcW w:w="540" w:type="dxa"/>
          </w:tcPr>
          <w:p w14:paraId="24EFAF35" w14:textId="77777777" w:rsidR="00CA7477" w:rsidRPr="00B81464" w:rsidRDefault="00CA7477" w:rsidP="005E223B">
            <w:pPr>
              <w:pStyle w:val="ListParagraph"/>
              <w:numPr>
                <w:ilvl w:val="0"/>
                <w:numId w:val="37"/>
              </w:numPr>
              <w:ind w:left="288"/>
              <w:rPr>
                <w:rFonts w:asciiTheme="minorHAnsi" w:eastAsia="Times New Roman" w:hAnsiTheme="minorHAnsi" w:cs="Times New Roman"/>
                <w:b/>
                <w:sz w:val="20"/>
                <w:szCs w:val="20"/>
              </w:rPr>
            </w:pPr>
          </w:p>
        </w:tc>
        <w:tc>
          <w:tcPr>
            <w:tcW w:w="98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A21599A" w14:textId="523C05E7" w:rsidR="00CA7477" w:rsidRPr="007B2BC3" w:rsidRDefault="00CA7477" w:rsidP="00BE4556">
            <w:pPr>
              <w:ind w:left="170" w:hanging="90"/>
              <w:rPr>
                <w:rFonts w:asciiTheme="minorHAnsi" w:eastAsia="Times New Roman" w:hAnsiTheme="minorHAnsi" w:cs="Times New Roman"/>
                <w:b/>
                <w:color w:val="auto"/>
                <w:sz w:val="19"/>
                <w:szCs w:val="19"/>
              </w:rPr>
            </w:pPr>
            <w:r w:rsidRPr="007B2BC3">
              <w:rPr>
                <w:rFonts w:asciiTheme="minorHAnsi" w:eastAsia="Times New Roman" w:hAnsiTheme="minorHAnsi" w:cs="Times New Roman"/>
                <w:color w:val="auto"/>
                <w:sz w:val="19"/>
                <w:szCs w:val="19"/>
              </w:rPr>
              <w:t xml:space="preserve">Middle skills training program is tracking the quality of the training </w:t>
            </w:r>
            <w:r w:rsidRPr="007B2BC3">
              <w:rPr>
                <w:rFonts w:asciiTheme="minorHAnsi" w:eastAsia="Times New Roman" w:hAnsiTheme="minorHAnsi" w:cs="Times New Roman"/>
                <w:b/>
                <w:color w:val="auto"/>
                <w:sz w:val="19"/>
                <w:szCs w:val="19"/>
              </w:rPr>
              <w:t>outcomes and employer satisfaction</w:t>
            </w:r>
            <w:r w:rsidRPr="007B2BC3">
              <w:rPr>
                <w:rFonts w:asciiTheme="minorHAnsi" w:eastAsia="Times New Roman" w:hAnsiTheme="minorHAnsi" w:cs="Times New Roman"/>
                <w:color w:val="auto"/>
                <w:sz w:val="19"/>
                <w:szCs w:val="19"/>
              </w:rPr>
              <w:t xml:space="preserve"> with new and incumbent worker preparation via a third-party evaluator. </w:t>
            </w:r>
          </w:p>
        </w:tc>
        <w:tc>
          <w:tcPr>
            <w:tcW w:w="2250" w:type="dxa"/>
          </w:tcPr>
          <w:p w14:paraId="0C771827" w14:textId="63BB4E26" w:rsidR="00CA7477" w:rsidRPr="007B2BC3" w:rsidRDefault="00CA7477" w:rsidP="00B46471">
            <w:pPr>
              <w:jc w:val="center"/>
              <w:rPr>
                <w:rFonts w:asciiTheme="minorHAnsi" w:hAnsiTheme="minorHAnsi" w:cs="Times New Roman"/>
                <w:sz w:val="19"/>
                <w:szCs w:val="19"/>
              </w:rPr>
            </w:pPr>
            <w:r w:rsidRPr="007B2BC3">
              <w:rPr>
                <w:rFonts w:asciiTheme="minorHAnsi" w:eastAsia="Times New Roman" w:hAnsiTheme="minorHAnsi" w:cs="Times New Roman"/>
                <w:sz w:val="19"/>
                <w:szCs w:val="19"/>
              </w:rPr>
              <w:t>Goodwill Industries International, Walmart  Foundation</w:t>
            </w:r>
          </w:p>
        </w:tc>
      </w:tr>
    </w:tbl>
    <w:p w14:paraId="4060A79B" w14:textId="77777777" w:rsidR="00CA3BFB" w:rsidRPr="00012950" w:rsidRDefault="00CA3BFB" w:rsidP="00A474DA">
      <w:pPr>
        <w:spacing w:after="0" w:line="240" w:lineRule="auto"/>
        <w:rPr>
          <w:rFonts w:ascii="Times New Roman" w:eastAsia="Times New Roman" w:hAnsi="Times New Roman" w:cs="Times New Roman"/>
          <w:sz w:val="24"/>
          <w:szCs w:val="24"/>
        </w:rPr>
      </w:pPr>
    </w:p>
    <w:sectPr w:rsidR="00CA3BFB" w:rsidRPr="00012950" w:rsidSect="004F6012">
      <w:footerReference w:type="default" r:id="rId88"/>
      <w:headerReference w:type="first" r:id="rId89"/>
      <w:pgSz w:w="15840" w:h="12240" w:orient="landscape" w:code="1"/>
      <w:pgMar w:top="900" w:right="1440" w:bottom="630" w:left="117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3E270D" w14:textId="77777777" w:rsidR="008555A9" w:rsidRDefault="008555A9" w:rsidP="008B4168">
      <w:pPr>
        <w:spacing w:after="0" w:line="240" w:lineRule="auto"/>
      </w:pPr>
      <w:r>
        <w:separator/>
      </w:r>
    </w:p>
  </w:endnote>
  <w:endnote w:type="continuationSeparator" w:id="0">
    <w:p w14:paraId="6804F4B3" w14:textId="77777777" w:rsidR="008555A9" w:rsidRDefault="008555A9" w:rsidP="008B4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2020282"/>
      <w:docPartObj>
        <w:docPartGallery w:val="Page Numbers (Bottom of Page)"/>
        <w:docPartUnique/>
      </w:docPartObj>
    </w:sdtPr>
    <w:sdtEndPr>
      <w:rPr>
        <w:noProof/>
      </w:rPr>
    </w:sdtEndPr>
    <w:sdtContent>
      <w:p w14:paraId="7EBE828A" w14:textId="06F7579A" w:rsidR="00CA7477" w:rsidRDefault="00CA7477">
        <w:pPr>
          <w:pStyle w:val="Footer"/>
          <w:jc w:val="right"/>
        </w:pPr>
        <w:r>
          <w:fldChar w:fldCharType="begin"/>
        </w:r>
        <w:r>
          <w:instrText xml:space="preserve"> PAGE   \* MERGEFORMAT </w:instrText>
        </w:r>
        <w:r>
          <w:fldChar w:fldCharType="separate"/>
        </w:r>
        <w:r w:rsidR="007B2BC3">
          <w:rPr>
            <w:noProof/>
          </w:rPr>
          <w:t>2</w:t>
        </w:r>
        <w:r>
          <w:rPr>
            <w:noProof/>
          </w:rPr>
          <w:fldChar w:fldCharType="end"/>
        </w:r>
      </w:p>
    </w:sdtContent>
  </w:sdt>
  <w:p w14:paraId="7075E4B4" w14:textId="77777777" w:rsidR="00CA7477" w:rsidRDefault="00CA74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E7A6F8" w14:textId="77777777" w:rsidR="008555A9" w:rsidRDefault="008555A9" w:rsidP="008B4168">
      <w:pPr>
        <w:spacing w:after="0" w:line="240" w:lineRule="auto"/>
      </w:pPr>
      <w:r>
        <w:separator/>
      </w:r>
    </w:p>
  </w:footnote>
  <w:footnote w:type="continuationSeparator" w:id="0">
    <w:p w14:paraId="0BAB2423" w14:textId="77777777" w:rsidR="008555A9" w:rsidRDefault="008555A9" w:rsidP="008B41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14665" w14:textId="40984571" w:rsidR="00CA7477" w:rsidRDefault="001B361C">
    <w:pPr>
      <w:pStyle w:val="Header"/>
    </w:pPr>
    <w:r>
      <w:t>091</w:t>
    </w:r>
    <w:r w:rsidR="00CA7477">
      <w:t>516</w:t>
    </w:r>
  </w:p>
  <w:p w14:paraId="1A03C322" w14:textId="77777777" w:rsidR="00CA7477" w:rsidRDefault="00CA74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D21EB"/>
    <w:multiLevelType w:val="hybridMultilevel"/>
    <w:tmpl w:val="C42A01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736D22"/>
    <w:multiLevelType w:val="hybridMultilevel"/>
    <w:tmpl w:val="FEB87958"/>
    <w:lvl w:ilvl="0" w:tplc="04090001">
      <w:start w:val="1"/>
      <w:numFmt w:val="bullet"/>
      <w:lvlText w:val=""/>
      <w:lvlJc w:val="left"/>
      <w:pPr>
        <w:ind w:left="1245" w:hanging="360"/>
      </w:pPr>
      <w:rPr>
        <w:rFonts w:ascii="Symbol" w:hAnsi="Symbol" w:hint="default"/>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2" w15:restartNumberingAfterBreak="0">
    <w:nsid w:val="04A9775D"/>
    <w:multiLevelType w:val="hybridMultilevel"/>
    <w:tmpl w:val="09C2C302"/>
    <w:lvl w:ilvl="0" w:tplc="0409000F">
      <w:start w:val="1"/>
      <w:numFmt w:val="decimal"/>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3" w15:restartNumberingAfterBreak="0">
    <w:nsid w:val="05F23B9C"/>
    <w:multiLevelType w:val="hybridMultilevel"/>
    <w:tmpl w:val="12E8ADAA"/>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06F223D7"/>
    <w:multiLevelType w:val="hybridMultilevel"/>
    <w:tmpl w:val="7542F7D0"/>
    <w:lvl w:ilvl="0" w:tplc="8E9A3BE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0B6F653C"/>
    <w:multiLevelType w:val="hybridMultilevel"/>
    <w:tmpl w:val="EA86D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990297"/>
    <w:multiLevelType w:val="hybridMultilevel"/>
    <w:tmpl w:val="F7EA7C4E"/>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7" w15:restartNumberingAfterBreak="0">
    <w:nsid w:val="1A1C6CF5"/>
    <w:multiLevelType w:val="hybridMultilevel"/>
    <w:tmpl w:val="7B746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6F4E7B"/>
    <w:multiLevelType w:val="hybridMultilevel"/>
    <w:tmpl w:val="2840879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9" w15:restartNumberingAfterBreak="0">
    <w:nsid w:val="1E4E434C"/>
    <w:multiLevelType w:val="hybridMultilevel"/>
    <w:tmpl w:val="DBD86D0A"/>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0" w15:restartNumberingAfterBreak="0">
    <w:nsid w:val="203D6EBC"/>
    <w:multiLevelType w:val="hybridMultilevel"/>
    <w:tmpl w:val="B8C84AFE"/>
    <w:lvl w:ilvl="0" w:tplc="5CEC49B0">
      <w:start w:val="1"/>
      <w:numFmt w:val="decimal"/>
      <w:lvlText w:val="%1."/>
      <w:lvlJc w:val="left"/>
      <w:pPr>
        <w:ind w:left="735" w:hanging="360"/>
      </w:pPr>
      <w:rPr>
        <w:rFonts w:hint="default"/>
        <w:b w:val="0"/>
        <w:sz w:val="19"/>
        <w:szCs w:val="19"/>
        <w:u w:val="none"/>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1" w15:restartNumberingAfterBreak="0">
    <w:nsid w:val="21C70BCD"/>
    <w:multiLevelType w:val="hybridMultilevel"/>
    <w:tmpl w:val="DA2A0B0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2" w15:restartNumberingAfterBreak="0">
    <w:nsid w:val="21DB0065"/>
    <w:multiLevelType w:val="hybridMultilevel"/>
    <w:tmpl w:val="ACCEE0B4"/>
    <w:lvl w:ilvl="0" w:tplc="D3CE10B8">
      <w:start w:val="1"/>
      <w:numFmt w:val="decimal"/>
      <w:lvlText w:val="(%1)"/>
      <w:lvlJc w:val="left"/>
      <w:pPr>
        <w:ind w:left="5580" w:hanging="360"/>
      </w:pPr>
      <w:rPr>
        <w:rFonts w:ascii="Times New Roman" w:eastAsia="Times New Roman" w:hAnsi="Times New Roman" w:cs="Times New Roman" w:hint="default"/>
        <w:b/>
        <w:color w:val="0070C0"/>
        <w:sz w:val="24"/>
      </w:rPr>
    </w:lvl>
    <w:lvl w:ilvl="1" w:tplc="04090019" w:tentative="1">
      <w:start w:val="1"/>
      <w:numFmt w:val="lowerLetter"/>
      <w:lvlText w:val="%2."/>
      <w:lvlJc w:val="left"/>
      <w:pPr>
        <w:ind w:left="6300" w:hanging="360"/>
      </w:pPr>
    </w:lvl>
    <w:lvl w:ilvl="2" w:tplc="0409001B" w:tentative="1">
      <w:start w:val="1"/>
      <w:numFmt w:val="lowerRoman"/>
      <w:lvlText w:val="%3."/>
      <w:lvlJc w:val="right"/>
      <w:pPr>
        <w:ind w:left="7020" w:hanging="180"/>
      </w:pPr>
    </w:lvl>
    <w:lvl w:ilvl="3" w:tplc="0409000F" w:tentative="1">
      <w:start w:val="1"/>
      <w:numFmt w:val="decimal"/>
      <w:lvlText w:val="%4."/>
      <w:lvlJc w:val="left"/>
      <w:pPr>
        <w:ind w:left="7740" w:hanging="360"/>
      </w:pPr>
    </w:lvl>
    <w:lvl w:ilvl="4" w:tplc="04090019" w:tentative="1">
      <w:start w:val="1"/>
      <w:numFmt w:val="lowerLetter"/>
      <w:lvlText w:val="%5."/>
      <w:lvlJc w:val="left"/>
      <w:pPr>
        <w:ind w:left="8460" w:hanging="360"/>
      </w:pPr>
    </w:lvl>
    <w:lvl w:ilvl="5" w:tplc="0409001B" w:tentative="1">
      <w:start w:val="1"/>
      <w:numFmt w:val="lowerRoman"/>
      <w:lvlText w:val="%6."/>
      <w:lvlJc w:val="right"/>
      <w:pPr>
        <w:ind w:left="9180" w:hanging="180"/>
      </w:pPr>
    </w:lvl>
    <w:lvl w:ilvl="6" w:tplc="0409000F" w:tentative="1">
      <w:start w:val="1"/>
      <w:numFmt w:val="decimal"/>
      <w:lvlText w:val="%7."/>
      <w:lvlJc w:val="left"/>
      <w:pPr>
        <w:ind w:left="9900" w:hanging="360"/>
      </w:pPr>
    </w:lvl>
    <w:lvl w:ilvl="7" w:tplc="04090019" w:tentative="1">
      <w:start w:val="1"/>
      <w:numFmt w:val="lowerLetter"/>
      <w:lvlText w:val="%8."/>
      <w:lvlJc w:val="left"/>
      <w:pPr>
        <w:ind w:left="10620" w:hanging="360"/>
      </w:pPr>
    </w:lvl>
    <w:lvl w:ilvl="8" w:tplc="0409001B" w:tentative="1">
      <w:start w:val="1"/>
      <w:numFmt w:val="lowerRoman"/>
      <w:lvlText w:val="%9."/>
      <w:lvlJc w:val="right"/>
      <w:pPr>
        <w:ind w:left="11340" w:hanging="180"/>
      </w:pPr>
    </w:lvl>
  </w:abstractNum>
  <w:abstractNum w:abstractNumId="13" w15:restartNumberingAfterBreak="0">
    <w:nsid w:val="22913CDF"/>
    <w:multiLevelType w:val="hybridMultilevel"/>
    <w:tmpl w:val="1B2CB25C"/>
    <w:lvl w:ilvl="0" w:tplc="18B67C68">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4" w15:restartNumberingAfterBreak="0">
    <w:nsid w:val="230F241C"/>
    <w:multiLevelType w:val="hybridMultilevel"/>
    <w:tmpl w:val="1DEC4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3B6E7F"/>
    <w:multiLevelType w:val="hybridMultilevel"/>
    <w:tmpl w:val="9574F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9115AF"/>
    <w:multiLevelType w:val="hybridMultilevel"/>
    <w:tmpl w:val="2C1CB54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392633ED"/>
    <w:multiLevelType w:val="hybridMultilevel"/>
    <w:tmpl w:val="85A6AB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DC61391"/>
    <w:multiLevelType w:val="multilevel"/>
    <w:tmpl w:val="C02CEA7E"/>
    <w:lvl w:ilvl="0">
      <w:start w:val="1"/>
      <w:numFmt w:val="bullet"/>
      <w:lvlText w:val="•"/>
      <w:lvlJc w:val="left"/>
      <w:pPr>
        <w:ind w:left="720" w:firstLine="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9" w15:restartNumberingAfterBreak="0">
    <w:nsid w:val="3EED50FA"/>
    <w:multiLevelType w:val="hybridMultilevel"/>
    <w:tmpl w:val="B0820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2C3835"/>
    <w:multiLevelType w:val="hybridMultilevel"/>
    <w:tmpl w:val="DC52E268"/>
    <w:lvl w:ilvl="0" w:tplc="B7FA82D6">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 w15:restartNumberingAfterBreak="0">
    <w:nsid w:val="43247497"/>
    <w:multiLevelType w:val="hybridMultilevel"/>
    <w:tmpl w:val="F506ACC4"/>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2F1426"/>
    <w:multiLevelType w:val="hybridMultilevel"/>
    <w:tmpl w:val="A4421C7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622E8B"/>
    <w:multiLevelType w:val="hybridMultilevel"/>
    <w:tmpl w:val="A80C3FB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4" w15:restartNumberingAfterBreak="0">
    <w:nsid w:val="453C4B5D"/>
    <w:multiLevelType w:val="hybridMultilevel"/>
    <w:tmpl w:val="58C273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598142E"/>
    <w:multiLevelType w:val="hybridMultilevel"/>
    <w:tmpl w:val="D7D0E9AE"/>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6" w15:restartNumberingAfterBreak="0">
    <w:nsid w:val="46B730EB"/>
    <w:multiLevelType w:val="hybridMultilevel"/>
    <w:tmpl w:val="BA747EA2"/>
    <w:lvl w:ilvl="0" w:tplc="7102E2DC">
      <w:start w:val="1"/>
      <w:numFmt w:val="decimal"/>
      <w:lvlText w:val="%1."/>
      <w:lvlJc w:val="center"/>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8A3453"/>
    <w:multiLevelType w:val="multilevel"/>
    <w:tmpl w:val="33C8F54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15:restartNumberingAfterBreak="0">
    <w:nsid w:val="48F35D42"/>
    <w:multiLevelType w:val="hybridMultilevel"/>
    <w:tmpl w:val="060C6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2E12F9"/>
    <w:multiLevelType w:val="hybridMultilevel"/>
    <w:tmpl w:val="07E64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1C5670"/>
    <w:multiLevelType w:val="hybridMultilevel"/>
    <w:tmpl w:val="ADE8144C"/>
    <w:lvl w:ilvl="0" w:tplc="7C52CCEA">
      <w:numFmt w:val="bullet"/>
      <w:lvlText w:val="•"/>
      <w:lvlJc w:val="left"/>
      <w:pPr>
        <w:ind w:left="1440" w:hanging="450"/>
      </w:pPr>
      <w:rPr>
        <w:rFonts w:ascii="Calibri" w:eastAsiaTheme="minorHAnsi" w:hAnsi="Calibri"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1" w15:restartNumberingAfterBreak="0">
    <w:nsid w:val="5A7348F2"/>
    <w:multiLevelType w:val="hybridMultilevel"/>
    <w:tmpl w:val="3C2CF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CE1044"/>
    <w:multiLevelType w:val="hybridMultilevel"/>
    <w:tmpl w:val="61708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F06D4F"/>
    <w:multiLevelType w:val="hybridMultilevel"/>
    <w:tmpl w:val="126E71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682A5F97"/>
    <w:multiLevelType w:val="hybridMultilevel"/>
    <w:tmpl w:val="FA9CDDA6"/>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5" w15:restartNumberingAfterBreak="0">
    <w:nsid w:val="6E003CAE"/>
    <w:multiLevelType w:val="hybridMultilevel"/>
    <w:tmpl w:val="D9A06A5C"/>
    <w:lvl w:ilvl="0" w:tplc="C50CE6AC">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7A7F8C"/>
    <w:multiLevelType w:val="hybridMultilevel"/>
    <w:tmpl w:val="888E10EE"/>
    <w:lvl w:ilvl="0" w:tplc="F566EDDE">
      <w:start w:val="1"/>
      <w:numFmt w:val="decimal"/>
      <w:lvlText w:val="%1"/>
      <w:lvlJc w:val="left"/>
      <w:pPr>
        <w:ind w:left="450" w:hanging="360"/>
      </w:pPr>
      <w:rPr>
        <w:rFonts w:ascii="Calibri" w:hAnsi="Calibri"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033123"/>
    <w:multiLevelType w:val="hybridMultilevel"/>
    <w:tmpl w:val="E32CD538"/>
    <w:lvl w:ilvl="0" w:tplc="F2CAF774">
      <w:numFmt w:val="bullet"/>
      <w:lvlText w:val="•"/>
      <w:lvlJc w:val="left"/>
      <w:pPr>
        <w:ind w:left="720" w:hanging="72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52F61DE"/>
    <w:multiLevelType w:val="hybridMultilevel"/>
    <w:tmpl w:val="95D0ED64"/>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9" w15:restartNumberingAfterBreak="0">
    <w:nsid w:val="758D62DF"/>
    <w:multiLevelType w:val="hybridMultilevel"/>
    <w:tmpl w:val="723A7660"/>
    <w:lvl w:ilvl="0" w:tplc="5B425168">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D36BF7"/>
    <w:multiLevelType w:val="hybridMultilevel"/>
    <w:tmpl w:val="58588742"/>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1" w15:restartNumberingAfterBreak="0">
    <w:nsid w:val="7A23553C"/>
    <w:multiLevelType w:val="hybridMultilevel"/>
    <w:tmpl w:val="5B4AB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F0739A"/>
    <w:multiLevelType w:val="hybridMultilevel"/>
    <w:tmpl w:val="5A803F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3" w15:restartNumberingAfterBreak="0">
    <w:nsid w:val="7F040AE9"/>
    <w:multiLevelType w:val="hybridMultilevel"/>
    <w:tmpl w:val="6F908A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7"/>
  </w:num>
  <w:num w:numId="2">
    <w:abstractNumId w:val="18"/>
  </w:num>
  <w:num w:numId="3">
    <w:abstractNumId w:val="28"/>
  </w:num>
  <w:num w:numId="4">
    <w:abstractNumId w:val="35"/>
  </w:num>
  <w:num w:numId="5">
    <w:abstractNumId w:val="12"/>
  </w:num>
  <w:num w:numId="6">
    <w:abstractNumId w:val="19"/>
  </w:num>
  <w:num w:numId="7">
    <w:abstractNumId w:val="32"/>
  </w:num>
  <w:num w:numId="8">
    <w:abstractNumId w:val="16"/>
  </w:num>
  <w:num w:numId="9">
    <w:abstractNumId w:val="1"/>
  </w:num>
  <w:num w:numId="10">
    <w:abstractNumId w:val="23"/>
  </w:num>
  <w:num w:numId="11">
    <w:abstractNumId w:val="20"/>
  </w:num>
  <w:num w:numId="12">
    <w:abstractNumId w:val="3"/>
  </w:num>
  <w:num w:numId="13">
    <w:abstractNumId w:val="25"/>
  </w:num>
  <w:num w:numId="14">
    <w:abstractNumId w:val="13"/>
  </w:num>
  <w:num w:numId="15">
    <w:abstractNumId w:val="2"/>
  </w:num>
  <w:num w:numId="16">
    <w:abstractNumId w:val="21"/>
  </w:num>
  <w:num w:numId="17">
    <w:abstractNumId w:val="43"/>
  </w:num>
  <w:num w:numId="18">
    <w:abstractNumId w:val="5"/>
  </w:num>
  <w:num w:numId="19">
    <w:abstractNumId w:val="10"/>
  </w:num>
  <w:num w:numId="20">
    <w:abstractNumId w:val="38"/>
  </w:num>
  <w:num w:numId="21">
    <w:abstractNumId w:val="22"/>
  </w:num>
  <w:num w:numId="22">
    <w:abstractNumId w:val="9"/>
  </w:num>
  <w:num w:numId="23">
    <w:abstractNumId w:val="4"/>
  </w:num>
  <w:num w:numId="24">
    <w:abstractNumId w:val="11"/>
  </w:num>
  <w:num w:numId="25">
    <w:abstractNumId w:val="37"/>
  </w:num>
  <w:num w:numId="26">
    <w:abstractNumId w:val="34"/>
  </w:num>
  <w:num w:numId="27">
    <w:abstractNumId w:val="30"/>
  </w:num>
  <w:num w:numId="28">
    <w:abstractNumId w:val="40"/>
  </w:num>
  <w:num w:numId="29">
    <w:abstractNumId w:val="39"/>
  </w:num>
  <w:num w:numId="30">
    <w:abstractNumId w:val="42"/>
  </w:num>
  <w:num w:numId="31">
    <w:abstractNumId w:val="33"/>
  </w:num>
  <w:num w:numId="32">
    <w:abstractNumId w:val="8"/>
  </w:num>
  <w:num w:numId="33">
    <w:abstractNumId w:val="26"/>
  </w:num>
  <w:num w:numId="34">
    <w:abstractNumId w:val="0"/>
  </w:num>
  <w:num w:numId="35">
    <w:abstractNumId w:val="41"/>
  </w:num>
  <w:num w:numId="36">
    <w:abstractNumId w:val="14"/>
  </w:num>
  <w:num w:numId="37">
    <w:abstractNumId w:val="36"/>
  </w:num>
  <w:num w:numId="38">
    <w:abstractNumId w:val="17"/>
  </w:num>
  <w:num w:numId="39">
    <w:abstractNumId w:val="6"/>
  </w:num>
  <w:num w:numId="40">
    <w:abstractNumId w:val="29"/>
  </w:num>
  <w:num w:numId="41">
    <w:abstractNumId w:val="15"/>
  </w:num>
  <w:num w:numId="42">
    <w:abstractNumId w:val="31"/>
  </w:num>
  <w:num w:numId="43">
    <w:abstractNumId w:val="24"/>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513"/>
    <w:rsid w:val="000001A2"/>
    <w:rsid w:val="000014D1"/>
    <w:rsid w:val="0000163C"/>
    <w:rsid w:val="00003A8C"/>
    <w:rsid w:val="00006B4D"/>
    <w:rsid w:val="00012950"/>
    <w:rsid w:val="00014F7A"/>
    <w:rsid w:val="00015639"/>
    <w:rsid w:val="00017FB2"/>
    <w:rsid w:val="00025C43"/>
    <w:rsid w:val="000279FA"/>
    <w:rsid w:val="00030965"/>
    <w:rsid w:val="00030D9E"/>
    <w:rsid w:val="0003141F"/>
    <w:rsid w:val="00032493"/>
    <w:rsid w:val="000353DE"/>
    <w:rsid w:val="00040B02"/>
    <w:rsid w:val="000434F1"/>
    <w:rsid w:val="00043A97"/>
    <w:rsid w:val="00056EAF"/>
    <w:rsid w:val="00066061"/>
    <w:rsid w:val="000670B2"/>
    <w:rsid w:val="00072716"/>
    <w:rsid w:val="00072890"/>
    <w:rsid w:val="00073F13"/>
    <w:rsid w:val="00074C4A"/>
    <w:rsid w:val="000817F2"/>
    <w:rsid w:val="000828AF"/>
    <w:rsid w:val="0008478B"/>
    <w:rsid w:val="000856CA"/>
    <w:rsid w:val="00095406"/>
    <w:rsid w:val="00095690"/>
    <w:rsid w:val="000A1F7C"/>
    <w:rsid w:val="000B15B0"/>
    <w:rsid w:val="000B302B"/>
    <w:rsid w:val="000B5302"/>
    <w:rsid w:val="000B6B37"/>
    <w:rsid w:val="000C0F1E"/>
    <w:rsid w:val="000C16AE"/>
    <w:rsid w:val="000C4A35"/>
    <w:rsid w:val="000C557E"/>
    <w:rsid w:val="000D09C1"/>
    <w:rsid w:val="000D4D3A"/>
    <w:rsid w:val="000D5178"/>
    <w:rsid w:val="000D76FD"/>
    <w:rsid w:val="000E0E5B"/>
    <w:rsid w:val="000E128D"/>
    <w:rsid w:val="000E2996"/>
    <w:rsid w:val="000E5D70"/>
    <w:rsid w:val="000E7FE7"/>
    <w:rsid w:val="000F54C9"/>
    <w:rsid w:val="000F70E5"/>
    <w:rsid w:val="000F74F2"/>
    <w:rsid w:val="00107260"/>
    <w:rsid w:val="0010754E"/>
    <w:rsid w:val="001142F7"/>
    <w:rsid w:val="0011544A"/>
    <w:rsid w:val="00116B36"/>
    <w:rsid w:val="00122DC7"/>
    <w:rsid w:val="001276DB"/>
    <w:rsid w:val="00133D99"/>
    <w:rsid w:val="00133E84"/>
    <w:rsid w:val="00135605"/>
    <w:rsid w:val="00140173"/>
    <w:rsid w:val="001404B1"/>
    <w:rsid w:val="00145C74"/>
    <w:rsid w:val="00147FFA"/>
    <w:rsid w:val="00151557"/>
    <w:rsid w:val="00154DD8"/>
    <w:rsid w:val="00155204"/>
    <w:rsid w:val="00155B1D"/>
    <w:rsid w:val="0015742B"/>
    <w:rsid w:val="00162F61"/>
    <w:rsid w:val="001634E4"/>
    <w:rsid w:val="00163A80"/>
    <w:rsid w:val="00165626"/>
    <w:rsid w:val="0016571F"/>
    <w:rsid w:val="00172A6F"/>
    <w:rsid w:val="00173368"/>
    <w:rsid w:val="0017407D"/>
    <w:rsid w:val="001741D9"/>
    <w:rsid w:val="00176346"/>
    <w:rsid w:val="00176D38"/>
    <w:rsid w:val="001809DF"/>
    <w:rsid w:val="0018371C"/>
    <w:rsid w:val="001860D0"/>
    <w:rsid w:val="00194E11"/>
    <w:rsid w:val="0019711E"/>
    <w:rsid w:val="001A5DDA"/>
    <w:rsid w:val="001A6320"/>
    <w:rsid w:val="001B1067"/>
    <w:rsid w:val="001B1A0F"/>
    <w:rsid w:val="001B29B8"/>
    <w:rsid w:val="001B361C"/>
    <w:rsid w:val="001C0438"/>
    <w:rsid w:val="001C39F4"/>
    <w:rsid w:val="001C4B58"/>
    <w:rsid w:val="001C4F76"/>
    <w:rsid w:val="001C5190"/>
    <w:rsid w:val="001D0006"/>
    <w:rsid w:val="001D0200"/>
    <w:rsid w:val="001D3B5F"/>
    <w:rsid w:val="001D7188"/>
    <w:rsid w:val="001E042B"/>
    <w:rsid w:val="001E37F7"/>
    <w:rsid w:val="001E71A7"/>
    <w:rsid w:val="001F0ACF"/>
    <w:rsid w:val="001F21C5"/>
    <w:rsid w:val="001F517D"/>
    <w:rsid w:val="001F5E75"/>
    <w:rsid w:val="001F6C73"/>
    <w:rsid w:val="0020154E"/>
    <w:rsid w:val="00201E4C"/>
    <w:rsid w:val="0020327A"/>
    <w:rsid w:val="00203541"/>
    <w:rsid w:val="00203723"/>
    <w:rsid w:val="00204B32"/>
    <w:rsid w:val="00210234"/>
    <w:rsid w:val="00222E55"/>
    <w:rsid w:val="00224BA8"/>
    <w:rsid w:val="0022588D"/>
    <w:rsid w:val="00227273"/>
    <w:rsid w:val="00231C6B"/>
    <w:rsid w:val="00233524"/>
    <w:rsid w:val="00233A15"/>
    <w:rsid w:val="002344AE"/>
    <w:rsid w:val="0024291C"/>
    <w:rsid w:val="002475D1"/>
    <w:rsid w:val="00247D43"/>
    <w:rsid w:val="00247F8B"/>
    <w:rsid w:val="00257EEA"/>
    <w:rsid w:val="0026270D"/>
    <w:rsid w:val="00267CCE"/>
    <w:rsid w:val="00271A54"/>
    <w:rsid w:val="0027486B"/>
    <w:rsid w:val="00276370"/>
    <w:rsid w:val="00276FD8"/>
    <w:rsid w:val="0028061A"/>
    <w:rsid w:val="0028558F"/>
    <w:rsid w:val="00285E7A"/>
    <w:rsid w:val="0029085F"/>
    <w:rsid w:val="0029396D"/>
    <w:rsid w:val="00294D5E"/>
    <w:rsid w:val="002974E8"/>
    <w:rsid w:val="002A20C2"/>
    <w:rsid w:val="002A6BC7"/>
    <w:rsid w:val="002A703D"/>
    <w:rsid w:val="002B0859"/>
    <w:rsid w:val="002B10BF"/>
    <w:rsid w:val="002B4085"/>
    <w:rsid w:val="002B610D"/>
    <w:rsid w:val="002C0E67"/>
    <w:rsid w:val="002C46FB"/>
    <w:rsid w:val="002C5CC1"/>
    <w:rsid w:val="002C6F5C"/>
    <w:rsid w:val="002D38CD"/>
    <w:rsid w:val="002E3CCF"/>
    <w:rsid w:val="002E7919"/>
    <w:rsid w:val="002F0B39"/>
    <w:rsid w:val="002F2B1F"/>
    <w:rsid w:val="002F30ED"/>
    <w:rsid w:val="002F4729"/>
    <w:rsid w:val="002F5BD0"/>
    <w:rsid w:val="002F7CC5"/>
    <w:rsid w:val="00303220"/>
    <w:rsid w:val="00304B17"/>
    <w:rsid w:val="0030675B"/>
    <w:rsid w:val="00310B88"/>
    <w:rsid w:val="00312096"/>
    <w:rsid w:val="00315693"/>
    <w:rsid w:val="0032192D"/>
    <w:rsid w:val="00321CAF"/>
    <w:rsid w:val="003264C9"/>
    <w:rsid w:val="0033226A"/>
    <w:rsid w:val="00333544"/>
    <w:rsid w:val="00333C29"/>
    <w:rsid w:val="003345D5"/>
    <w:rsid w:val="00336698"/>
    <w:rsid w:val="00343A57"/>
    <w:rsid w:val="003445D8"/>
    <w:rsid w:val="003522F7"/>
    <w:rsid w:val="0035719D"/>
    <w:rsid w:val="00357D69"/>
    <w:rsid w:val="00367067"/>
    <w:rsid w:val="003677F0"/>
    <w:rsid w:val="00383FEC"/>
    <w:rsid w:val="00386F8D"/>
    <w:rsid w:val="0039640A"/>
    <w:rsid w:val="00396A72"/>
    <w:rsid w:val="00397AEC"/>
    <w:rsid w:val="003A00C9"/>
    <w:rsid w:val="003A3809"/>
    <w:rsid w:val="003A435D"/>
    <w:rsid w:val="003A5276"/>
    <w:rsid w:val="003A6B9B"/>
    <w:rsid w:val="003B0BE8"/>
    <w:rsid w:val="003B37F7"/>
    <w:rsid w:val="003B7240"/>
    <w:rsid w:val="003B7647"/>
    <w:rsid w:val="003B7F24"/>
    <w:rsid w:val="003C0E6B"/>
    <w:rsid w:val="003C54B6"/>
    <w:rsid w:val="003D0490"/>
    <w:rsid w:val="003D2A2E"/>
    <w:rsid w:val="003D6045"/>
    <w:rsid w:val="003D6156"/>
    <w:rsid w:val="003E1084"/>
    <w:rsid w:val="003E432D"/>
    <w:rsid w:val="003E5095"/>
    <w:rsid w:val="003E6769"/>
    <w:rsid w:val="003F091C"/>
    <w:rsid w:val="003F11D3"/>
    <w:rsid w:val="003F36EA"/>
    <w:rsid w:val="003F4541"/>
    <w:rsid w:val="003F4A79"/>
    <w:rsid w:val="003F5D5C"/>
    <w:rsid w:val="003F7ABB"/>
    <w:rsid w:val="00401979"/>
    <w:rsid w:val="00402A63"/>
    <w:rsid w:val="0041059B"/>
    <w:rsid w:val="00410F2F"/>
    <w:rsid w:val="00413DDA"/>
    <w:rsid w:val="00414250"/>
    <w:rsid w:val="0041626D"/>
    <w:rsid w:val="0041674E"/>
    <w:rsid w:val="00416FE1"/>
    <w:rsid w:val="00420E65"/>
    <w:rsid w:val="00423F06"/>
    <w:rsid w:val="004241C7"/>
    <w:rsid w:val="0042791D"/>
    <w:rsid w:val="00427B62"/>
    <w:rsid w:val="00431ED7"/>
    <w:rsid w:val="00433AAD"/>
    <w:rsid w:val="00433E13"/>
    <w:rsid w:val="00434992"/>
    <w:rsid w:val="00435016"/>
    <w:rsid w:val="00436262"/>
    <w:rsid w:val="004373AF"/>
    <w:rsid w:val="004414F1"/>
    <w:rsid w:val="004458F9"/>
    <w:rsid w:val="0045113C"/>
    <w:rsid w:val="004518E5"/>
    <w:rsid w:val="00455396"/>
    <w:rsid w:val="00455D11"/>
    <w:rsid w:val="00460432"/>
    <w:rsid w:val="0046065F"/>
    <w:rsid w:val="0046382E"/>
    <w:rsid w:val="00470FDC"/>
    <w:rsid w:val="00473353"/>
    <w:rsid w:val="004807DF"/>
    <w:rsid w:val="00480DB4"/>
    <w:rsid w:val="00482E3F"/>
    <w:rsid w:val="004875F7"/>
    <w:rsid w:val="00496172"/>
    <w:rsid w:val="0049787F"/>
    <w:rsid w:val="00497B4B"/>
    <w:rsid w:val="00497E5E"/>
    <w:rsid w:val="004A0955"/>
    <w:rsid w:val="004A0B2D"/>
    <w:rsid w:val="004A12FD"/>
    <w:rsid w:val="004A223E"/>
    <w:rsid w:val="004A2B4B"/>
    <w:rsid w:val="004A5002"/>
    <w:rsid w:val="004A790A"/>
    <w:rsid w:val="004B2237"/>
    <w:rsid w:val="004B3827"/>
    <w:rsid w:val="004C082E"/>
    <w:rsid w:val="004C13AB"/>
    <w:rsid w:val="004C4CBB"/>
    <w:rsid w:val="004D1C25"/>
    <w:rsid w:val="004D297B"/>
    <w:rsid w:val="004E12F5"/>
    <w:rsid w:val="004E54E3"/>
    <w:rsid w:val="004E5AC5"/>
    <w:rsid w:val="004E74C0"/>
    <w:rsid w:val="004F072A"/>
    <w:rsid w:val="004F14B0"/>
    <w:rsid w:val="004F53F0"/>
    <w:rsid w:val="004F6012"/>
    <w:rsid w:val="00501316"/>
    <w:rsid w:val="00501BC0"/>
    <w:rsid w:val="00503712"/>
    <w:rsid w:val="00503AA8"/>
    <w:rsid w:val="00505784"/>
    <w:rsid w:val="00505E13"/>
    <w:rsid w:val="00514000"/>
    <w:rsid w:val="00523D48"/>
    <w:rsid w:val="00523EB4"/>
    <w:rsid w:val="00523FBF"/>
    <w:rsid w:val="00524CE3"/>
    <w:rsid w:val="0052677A"/>
    <w:rsid w:val="00527240"/>
    <w:rsid w:val="00533033"/>
    <w:rsid w:val="0053569C"/>
    <w:rsid w:val="00535885"/>
    <w:rsid w:val="00536443"/>
    <w:rsid w:val="00536DE7"/>
    <w:rsid w:val="005438BD"/>
    <w:rsid w:val="00544F53"/>
    <w:rsid w:val="00545B32"/>
    <w:rsid w:val="00550959"/>
    <w:rsid w:val="00552A95"/>
    <w:rsid w:val="0055345C"/>
    <w:rsid w:val="005571C6"/>
    <w:rsid w:val="005606F6"/>
    <w:rsid w:val="005615E4"/>
    <w:rsid w:val="00565AB6"/>
    <w:rsid w:val="00566405"/>
    <w:rsid w:val="00571871"/>
    <w:rsid w:val="0057340D"/>
    <w:rsid w:val="00574584"/>
    <w:rsid w:val="00574D19"/>
    <w:rsid w:val="00581C63"/>
    <w:rsid w:val="00582257"/>
    <w:rsid w:val="0058458F"/>
    <w:rsid w:val="00586A47"/>
    <w:rsid w:val="00586C4B"/>
    <w:rsid w:val="005877B3"/>
    <w:rsid w:val="00587F81"/>
    <w:rsid w:val="00593436"/>
    <w:rsid w:val="00595099"/>
    <w:rsid w:val="005A01CC"/>
    <w:rsid w:val="005B09CE"/>
    <w:rsid w:val="005B1BDC"/>
    <w:rsid w:val="005B243D"/>
    <w:rsid w:val="005B3EE5"/>
    <w:rsid w:val="005C195A"/>
    <w:rsid w:val="005C2A0C"/>
    <w:rsid w:val="005C3279"/>
    <w:rsid w:val="005C61A6"/>
    <w:rsid w:val="005D00E6"/>
    <w:rsid w:val="005D05C4"/>
    <w:rsid w:val="005D2247"/>
    <w:rsid w:val="005D2800"/>
    <w:rsid w:val="005D311F"/>
    <w:rsid w:val="005D5542"/>
    <w:rsid w:val="005E223B"/>
    <w:rsid w:val="005E39E1"/>
    <w:rsid w:val="005E5762"/>
    <w:rsid w:val="005E78FA"/>
    <w:rsid w:val="005F048B"/>
    <w:rsid w:val="005F412B"/>
    <w:rsid w:val="005F62D0"/>
    <w:rsid w:val="005F6E5B"/>
    <w:rsid w:val="005F7F88"/>
    <w:rsid w:val="00600AAE"/>
    <w:rsid w:val="006010BA"/>
    <w:rsid w:val="00602FA1"/>
    <w:rsid w:val="0060394C"/>
    <w:rsid w:val="00610A1E"/>
    <w:rsid w:val="006116E6"/>
    <w:rsid w:val="006117DA"/>
    <w:rsid w:val="006129E1"/>
    <w:rsid w:val="00615945"/>
    <w:rsid w:val="006164BE"/>
    <w:rsid w:val="00616741"/>
    <w:rsid w:val="00622198"/>
    <w:rsid w:val="006256F6"/>
    <w:rsid w:val="00630CB3"/>
    <w:rsid w:val="00632B49"/>
    <w:rsid w:val="00632FC4"/>
    <w:rsid w:val="006342F2"/>
    <w:rsid w:val="00636898"/>
    <w:rsid w:val="00637C4D"/>
    <w:rsid w:val="006443A5"/>
    <w:rsid w:val="00645DF4"/>
    <w:rsid w:val="00650A54"/>
    <w:rsid w:val="00651037"/>
    <w:rsid w:val="00654413"/>
    <w:rsid w:val="006556F8"/>
    <w:rsid w:val="00656548"/>
    <w:rsid w:val="00660481"/>
    <w:rsid w:val="00661112"/>
    <w:rsid w:val="006621C9"/>
    <w:rsid w:val="006666CD"/>
    <w:rsid w:val="00667962"/>
    <w:rsid w:val="006708EF"/>
    <w:rsid w:val="006752B6"/>
    <w:rsid w:val="0067582D"/>
    <w:rsid w:val="00675DB7"/>
    <w:rsid w:val="00676B66"/>
    <w:rsid w:val="00677A6A"/>
    <w:rsid w:val="00677E06"/>
    <w:rsid w:val="0068080C"/>
    <w:rsid w:val="00681634"/>
    <w:rsid w:val="006823A7"/>
    <w:rsid w:val="00682FBE"/>
    <w:rsid w:val="00683970"/>
    <w:rsid w:val="0069008E"/>
    <w:rsid w:val="00690B33"/>
    <w:rsid w:val="00692E9A"/>
    <w:rsid w:val="006954BF"/>
    <w:rsid w:val="006959A3"/>
    <w:rsid w:val="006973D0"/>
    <w:rsid w:val="00697935"/>
    <w:rsid w:val="006A0B18"/>
    <w:rsid w:val="006A215E"/>
    <w:rsid w:val="006A2552"/>
    <w:rsid w:val="006A2CE9"/>
    <w:rsid w:val="006A5093"/>
    <w:rsid w:val="006A55E5"/>
    <w:rsid w:val="006B0495"/>
    <w:rsid w:val="006B0867"/>
    <w:rsid w:val="006B13DC"/>
    <w:rsid w:val="006B1813"/>
    <w:rsid w:val="006B2160"/>
    <w:rsid w:val="006B4397"/>
    <w:rsid w:val="006C1162"/>
    <w:rsid w:val="006C2123"/>
    <w:rsid w:val="006C3B5F"/>
    <w:rsid w:val="006C5976"/>
    <w:rsid w:val="006C688D"/>
    <w:rsid w:val="006D14D8"/>
    <w:rsid w:val="006E16B3"/>
    <w:rsid w:val="006E333D"/>
    <w:rsid w:val="006F1E68"/>
    <w:rsid w:val="006F2A3C"/>
    <w:rsid w:val="006F51E4"/>
    <w:rsid w:val="006F5657"/>
    <w:rsid w:val="006F7D17"/>
    <w:rsid w:val="00701C9E"/>
    <w:rsid w:val="00705916"/>
    <w:rsid w:val="00711B62"/>
    <w:rsid w:val="00711FE4"/>
    <w:rsid w:val="007122E0"/>
    <w:rsid w:val="0071327B"/>
    <w:rsid w:val="007134FA"/>
    <w:rsid w:val="00714121"/>
    <w:rsid w:val="007154F1"/>
    <w:rsid w:val="0071576E"/>
    <w:rsid w:val="00715AED"/>
    <w:rsid w:val="00717E93"/>
    <w:rsid w:val="007203F9"/>
    <w:rsid w:val="007222E9"/>
    <w:rsid w:val="007228CE"/>
    <w:rsid w:val="00722D3A"/>
    <w:rsid w:val="00723C8F"/>
    <w:rsid w:val="00727235"/>
    <w:rsid w:val="00727951"/>
    <w:rsid w:val="00727E7F"/>
    <w:rsid w:val="00730C6F"/>
    <w:rsid w:val="00732A82"/>
    <w:rsid w:val="00733060"/>
    <w:rsid w:val="00737BD9"/>
    <w:rsid w:val="00741AF5"/>
    <w:rsid w:val="00743DE7"/>
    <w:rsid w:val="0074503B"/>
    <w:rsid w:val="00745690"/>
    <w:rsid w:val="007456A3"/>
    <w:rsid w:val="00745F6C"/>
    <w:rsid w:val="0074667F"/>
    <w:rsid w:val="00747F28"/>
    <w:rsid w:val="00751F0C"/>
    <w:rsid w:val="00760CE6"/>
    <w:rsid w:val="007628F6"/>
    <w:rsid w:val="00762F60"/>
    <w:rsid w:val="007657FA"/>
    <w:rsid w:val="00770537"/>
    <w:rsid w:val="0078599E"/>
    <w:rsid w:val="0078672B"/>
    <w:rsid w:val="00786C68"/>
    <w:rsid w:val="00787BC5"/>
    <w:rsid w:val="00791834"/>
    <w:rsid w:val="007928FB"/>
    <w:rsid w:val="007947A8"/>
    <w:rsid w:val="00796F06"/>
    <w:rsid w:val="007A23FE"/>
    <w:rsid w:val="007A3385"/>
    <w:rsid w:val="007A4B99"/>
    <w:rsid w:val="007A543E"/>
    <w:rsid w:val="007B0018"/>
    <w:rsid w:val="007B1D00"/>
    <w:rsid w:val="007B2BC3"/>
    <w:rsid w:val="007B3240"/>
    <w:rsid w:val="007B7C27"/>
    <w:rsid w:val="007C02BA"/>
    <w:rsid w:val="007C1770"/>
    <w:rsid w:val="007C298C"/>
    <w:rsid w:val="007C3353"/>
    <w:rsid w:val="007C3C45"/>
    <w:rsid w:val="007C4E43"/>
    <w:rsid w:val="007C55FE"/>
    <w:rsid w:val="007C6CE9"/>
    <w:rsid w:val="007D21C4"/>
    <w:rsid w:val="007D21CF"/>
    <w:rsid w:val="007D34B3"/>
    <w:rsid w:val="007D3CC5"/>
    <w:rsid w:val="007D4BAE"/>
    <w:rsid w:val="007D7DDD"/>
    <w:rsid w:val="007E1B5F"/>
    <w:rsid w:val="007E1D66"/>
    <w:rsid w:val="007E1F7A"/>
    <w:rsid w:val="007E355D"/>
    <w:rsid w:val="007E3EB8"/>
    <w:rsid w:val="007E68B0"/>
    <w:rsid w:val="007E6A55"/>
    <w:rsid w:val="007E7855"/>
    <w:rsid w:val="007F219F"/>
    <w:rsid w:val="007F2B3F"/>
    <w:rsid w:val="007F4DDF"/>
    <w:rsid w:val="00801CE4"/>
    <w:rsid w:val="008036A4"/>
    <w:rsid w:val="00805A3A"/>
    <w:rsid w:val="00813BAC"/>
    <w:rsid w:val="00815119"/>
    <w:rsid w:val="0081704A"/>
    <w:rsid w:val="008172D5"/>
    <w:rsid w:val="00821C06"/>
    <w:rsid w:val="00821E75"/>
    <w:rsid w:val="00823EA4"/>
    <w:rsid w:val="0082691D"/>
    <w:rsid w:val="00827E63"/>
    <w:rsid w:val="00827FE7"/>
    <w:rsid w:val="00831C04"/>
    <w:rsid w:val="00833F11"/>
    <w:rsid w:val="00841EA3"/>
    <w:rsid w:val="00842245"/>
    <w:rsid w:val="00845D73"/>
    <w:rsid w:val="00846331"/>
    <w:rsid w:val="00847C8E"/>
    <w:rsid w:val="00851EDE"/>
    <w:rsid w:val="00854E78"/>
    <w:rsid w:val="00854F46"/>
    <w:rsid w:val="008555A9"/>
    <w:rsid w:val="00860705"/>
    <w:rsid w:val="00861513"/>
    <w:rsid w:val="00870D8F"/>
    <w:rsid w:val="00872D02"/>
    <w:rsid w:val="00875923"/>
    <w:rsid w:val="00876534"/>
    <w:rsid w:val="008828CE"/>
    <w:rsid w:val="008836F2"/>
    <w:rsid w:val="00883C5F"/>
    <w:rsid w:val="008862ED"/>
    <w:rsid w:val="00886CBA"/>
    <w:rsid w:val="00887727"/>
    <w:rsid w:val="00891304"/>
    <w:rsid w:val="00896726"/>
    <w:rsid w:val="00896CB4"/>
    <w:rsid w:val="00897513"/>
    <w:rsid w:val="008A08C5"/>
    <w:rsid w:val="008A513E"/>
    <w:rsid w:val="008A63AE"/>
    <w:rsid w:val="008A6C92"/>
    <w:rsid w:val="008B1BE6"/>
    <w:rsid w:val="008B248E"/>
    <w:rsid w:val="008B39B8"/>
    <w:rsid w:val="008B4168"/>
    <w:rsid w:val="008B60D8"/>
    <w:rsid w:val="008B68B9"/>
    <w:rsid w:val="008C110F"/>
    <w:rsid w:val="008C32F5"/>
    <w:rsid w:val="008C3E12"/>
    <w:rsid w:val="008C3FDD"/>
    <w:rsid w:val="008C5F1C"/>
    <w:rsid w:val="008D2A77"/>
    <w:rsid w:val="008D3994"/>
    <w:rsid w:val="008D4349"/>
    <w:rsid w:val="008D467F"/>
    <w:rsid w:val="008D5139"/>
    <w:rsid w:val="008D5FDB"/>
    <w:rsid w:val="008D69E5"/>
    <w:rsid w:val="008D7D90"/>
    <w:rsid w:val="008E2AB5"/>
    <w:rsid w:val="008F0793"/>
    <w:rsid w:val="008F1067"/>
    <w:rsid w:val="008F34AA"/>
    <w:rsid w:val="008F3862"/>
    <w:rsid w:val="008F46B6"/>
    <w:rsid w:val="00900BFA"/>
    <w:rsid w:val="00903F8F"/>
    <w:rsid w:val="00906ACE"/>
    <w:rsid w:val="00907DFE"/>
    <w:rsid w:val="00910F8D"/>
    <w:rsid w:val="009147B2"/>
    <w:rsid w:val="0091619F"/>
    <w:rsid w:val="009213D8"/>
    <w:rsid w:val="00923196"/>
    <w:rsid w:val="0092321B"/>
    <w:rsid w:val="009249D1"/>
    <w:rsid w:val="00925138"/>
    <w:rsid w:val="00926852"/>
    <w:rsid w:val="00931ED5"/>
    <w:rsid w:val="00932575"/>
    <w:rsid w:val="00933551"/>
    <w:rsid w:val="009343FE"/>
    <w:rsid w:val="00934AEA"/>
    <w:rsid w:val="00946CA5"/>
    <w:rsid w:val="00950510"/>
    <w:rsid w:val="009522DF"/>
    <w:rsid w:val="0095334E"/>
    <w:rsid w:val="00955C26"/>
    <w:rsid w:val="00956351"/>
    <w:rsid w:val="00962B6E"/>
    <w:rsid w:val="00965603"/>
    <w:rsid w:val="00965A2E"/>
    <w:rsid w:val="00973E18"/>
    <w:rsid w:val="0097677C"/>
    <w:rsid w:val="009776E8"/>
    <w:rsid w:val="0097785C"/>
    <w:rsid w:val="00977E7E"/>
    <w:rsid w:val="009810C9"/>
    <w:rsid w:val="00983EED"/>
    <w:rsid w:val="00985AF6"/>
    <w:rsid w:val="0099007B"/>
    <w:rsid w:val="0099185D"/>
    <w:rsid w:val="00991E76"/>
    <w:rsid w:val="00993DF4"/>
    <w:rsid w:val="0099595F"/>
    <w:rsid w:val="00996EC6"/>
    <w:rsid w:val="009977B0"/>
    <w:rsid w:val="009A6A13"/>
    <w:rsid w:val="009B4C0F"/>
    <w:rsid w:val="009C01B5"/>
    <w:rsid w:val="009C2428"/>
    <w:rsid w:val="009C2CF0"/>
    <w:rsid w:val="009C2D31"/>
    <w:rsid w:val="009C6369"/>
    <w:rsid w:val="009C6D09"/>
    <w:rsid w:val="009C70B6"/>
    <w:rsid w:val="009C7F8C"/>
    <w:rsid w:val="009D1B6E"/>
    <w:rsid w:val="009D378B"/>
    <w:rsid w:val="009D421F"/>
    <w:rsid w:val="009D6C5E"/>
    <w:rsid w:val="009E0F90"/>
    <w:rsid w:val="009E6012"/>
    <w:rsid w:val="009E7105"/>
    <w:rsid w:val="009F0262"/>
    <w:rsid w:val="009F2C54"/>
    <w:rsid w:val="009F35D6"/>
    <w:rsid w:val="00A007DE"/>
    <w:rsid w:val="00A01459"/>
    <w:rsid w:val="00A01658"/>
    <w:rsid w:val="00A04AC9"/>
    <w:rsid w:val="00A060DB"/>
    <w:rsid w:val="00A071D9"/>
    <w:rsid w:val="00A10790"/>
    <w:rsid w:val="00A11CE6"/>
    <w:rsid w:val="00A149B7"/>
    <w:rsid w:val="00A14BCC"/>
    <w:rsid w:val="00A157C2"/>
    <w:rsid w:val="00A27EA8"/>
    <w:rsid w:val="00A328EB"/>
    <w:rsid w:val="00A33321"/>
    <w:rsid w:val="00A33CFD"/>
    <w:rsid w:val="00A33E50"/>
    <w:rsid w:val="00A34C13"/>
    <w:rsid w:val="00A364FB"/>
    <w:rsid w:val="00A4019E"/>
    <w:rsid w:val="00A43FC9"/>
    <w:rsid w:val="00A46755"/>
    <w:rsid w:val="00A474DA"/>
    <w:rsid w:val="00A503D6"/>
    <w:rsid w:val="00A519C7"/>
    <w:rsid w:val="00A5255D"/>
    <w:rsid w:val="00A5518B"/>
    <w:rsid w:val="00A55FE6"/>
    <w:rsid w:val="00A601B6"/>
    <w:rsid w:val="00A638AD"/>
    <w:rsid w:val="00A6459E"/>
    <w:rsid w:val="00A70E87"/>
    <w:rsid w:val="00A74D9A"/>
    <w:rsid w:val="00A80370"/>
    <w:rsid w:val="00A826CC"/>
    <w:rsid w:val="00A922DC"/>
    <w:rsid w:val="00A93EFD"/>
    <w:rsid w:val="00A94A55"/>
    <w:rsid w:val="00A96BBE"/>
    <w:rsid w:val="00A96F04"/>
    <w:rsid w:val="00A97E7B"/>
    <w:rsid w:val="00AA1668"/>
    <w:rsid w:val="00AA3C5B"/>
    <w:rsid w:val="00AB3C9A"/>
    <w:rsid w:val="00AB4564"/>
    <w:rsid w:val="00AB516F"/>
    <w:rsid w:val="00AB72F9"/>
    <w:rsid w:val="00AC0A6B"/>
    <w:rsid w:val="00AC2EC0"/>
    <w:rsid w:val="00AC58AA"/>
    <w:rsid w:val="00AD653B"/>
    <w:rsid w:val="00AE3C64"/>
    <w:rsid w:val="00AE505F"/>
    <w:rsid w:val="00AF459D"/>
    <w:rsid w:val="00AF7064"/>
    <w:rsid w:val="00B07C98"/>
    <w:rsid w:val="00B07D30"/>
    <w:rsid w:val="00B1003A"/>
    <w:rsid w:val="00B15F62"/>
    <w:rsid w:val="00B16724"/>
    <w:rsid w:val="00B16A78"/>
    <w:rsid w:val="00B23B1C"/>
    <w:rsid w:val="00B25BC6"/>
    <w:rsid w:val="00B27A86"/>
    <w:rsid w:val="00B32283"/>
    <w:rsid w:val="00B33DA1"/>
    <w:rsid w:val="00B37712"/>
    <w:rsid w:val="00B379A9"/>
    <w:rsid w:val="00B4150E"/>
    <w:rsid w:val="00B430BA"/>
    <w:rsid w:val="00B46471"/>
    <w:rsid w:val="00B464B5"/>
    <w:rsid w:val="00B61693"/>
    <w:rsid w:val="00B70E85"/>
    <w:rsid w:val="00B74118"/>
    <w:rsid w:val="00B805FA"/>
    <w:rsid w:val="00B81464"/>
    <w:rsid w:val="00B830C5"/>
    <w:rsid w:val="00B83DAA"/>
    <w:rsid w:val="00B9002A"/>
    <w:rsid w:val="00B90398"/>
    <w:rsid w:val="00B91837"/>
    <w:rsid w:val="00B942EC"/>
    <w:rsid w:val="00B94981"/>
    <w:rsid w:val="00BA554D"/>
    <w:rsid w:val="00BB0A29"/>
    <w:rsid w:val="00BB4133"/>
    <w:rsid w:val="00BB4176"/>
    <w:rsid w:val="00BB5373"/>
    <w:rsid w:val="00BC2C06"/>
    <w:rsid w:val="00BC4646"/>
    <w:rsid w:val="00BC4846"/>
    <w:rsid w:val="00BC6D80"/>
    <w:rsid w:val="00BC7A85"/>
    <w:rsid w:val="00BD1267"/>
    <w:rsid w:val="00BD4797"/>
    <w:rsid w:val="00BD4A2B"/>
    <w:rsid w:val="00BD793F"/>
    <w:rsid w:val="00BE4556"/>
    <w:rsid w:val="00BE4C8D"/>
    <w:rsid w:val="00BE6495"/>
    <w:rsid w:val="00BF069F"/>
    <w:rsid w:val="00BF1364"/>
    <w:rsid w:val="00BF13FC"/>
    <w:rsid w:val="00BF3B1B"/>
    <w:rsid w:val="00BF42BF"/>
    <w:rsid w:val="00C11D96"/>
    <w:rsid w:val="00C12094"/>
    <w:rsid w:val="00C125C1"/>
    <w:rsid w:val="00C12AB1"/>
    <w:rsid w:val="00C21954"/>
    <w:rsid w:val="00C21F60"/>
    <w:rsid w:val="00C26884"/>
    <w:rsid w:val="00C35959"/>
    <w:rsid w:val="00C369A9"/>
    <w:rsid w:val="00C409E2"/>
    <w:rsid w:val="00C41755"/>
    <w:rsid w:val="00C43A54"/>
    <w:rsid w:val="00C46F6E"/>
    <w:rsid w:val="00C5200F"/>
    <w:rsid w:val="00C55B46"/>
    <w:rsid w:val="00C56548"/>
    <w:rsid w:val="00C6210D"/>
    <w:rsid w:val="00C666A7"/>
    <w:rsid w:val="00C67F29"/>
    <w:rsid w:val="00C70C84"/>
    <w:rsid w:val="00C71464"/>
    <w:rsid w:val="00C72509"/>
    <w:rsid w:val="00C7486D"/>
    <w:rsid w:val="00C75BA2"/>
    <w:rsid w:val="00C81768"/>
    <w:rsid w:val="00C8561C"/>
    <w:rsid w:val="00C85EE1"/>
    <w:rsid w:val="00C93BE4"/>
    <w:rsid w:val="00C951D8"/>
    <w:rsid w:val="00C96851"/>
    <w:rsid w:val="00CA1619"/>
    <w:rsid w:val="00CA2039"/>
    <w:rsid w:val="00CA3BFB"/>
    <w:rsid w:val="00CA7477"/>
    <w:rsid w:val="00CB25B5"/>
    <w:rsid w:val="00CB619C"/>
    <w:rsid w:val="00CB7E1A"/>
    <w:rsid w:val="00CC0464"/>
    <w:rsid w:val="00CC1072"/>
    <w:rsid w:val="00CC165F"/>
    <w:rsid w:val="00CC49A9"/>
    <w:rsid w:val="00CC6C70"/>
    <w:rsid w:val="00CC7025"/>
    <w:rsid w:val="00CD0AA5"/>
    <w:rsid w:val="00CD0C61"/>
    <w:rsid w:val="00CD2CFA"/>
    <w:rsid w:val="00CD2D19"/>
    <w:rsid w:val="00CD3024"/>
    <w:rsid w:val="00CD57D5"/>
    <w:rsid w:val="00CE01B0"/>
    <w:rsid w:val="00CE3AA7"/>
    <w:rsid w:val="00CE52E2"/>
    <w:rsid w:val="00CF5CBD"/>
    <w:rsid w:val="00CF6498"/>
    <w:rsid w:val="00CF7DA6"/>
    <w:rsid w:val="00D01348"/>
    <w:rsid w:val="00D01B60"/>
    <w:rsid w:val="00D0316B"/>
    <w:rsid w:val="00D0331F"/>
    <w:rsid w:val="00D042C0"/>
    <w:rsid w:val="00D062A5"/>
    <w:rsid w:val="00D106E7"/>
    <w:rsid w:val="00D15406"/>
    <w:rsid w:val="00D17E7B"/>
    <w:rsid w:val="00D22126"/>
    <w:rsid w:val="00D23E88"/>
    <w:rsid w:val="00D2795F"/>
    <w:rsid w:val="00D30594"/>
    <w:rsid w:val="00D3250D"/>
    <w:rsid w:val="00D40D85"/>
    <w:rsid w:val="00D43CC4"/>
    <w:rsid w:val="00D44168"/>
    <w:rsid w:val="00D45A9F"/>
    <w:rsid w:val="00D47AD5"/>
    <w:rsid w:val="00D53523"/>
    <w:rsid w:val="00D56484"/>
    <w:rsid w:val="00D6187A"/>
    <w:rsid w:val="00D6735E"/>
    <w:rsid w:val="00D7024E"/>
    <w:rsid w:val="00D74B46"/>
    <w:rsid w:val="00D77F65"/>
    <w:rsid w:val="00D8220E"/>
    <w:rsid w:val="00D824AB"/>
    <w:rsid w:val="00D83A69"/>
    <w:rsid w:val="00D857E1"/>
    <w:rsid w:val="00D8769F"/>
    <w:rsid w:val="00D928E2"/>
    <w:rsid w:val="00D94206"/>
    <w:rsid w:val="00D95562"/>
    <w:rsid w:val="00D97947"/>
    <w:rsid w:val="00D97A98"/>
    <w:rsid w:val="00DA03E3"/>
    <w:rsid w:val="00DA5DE8"/>
    <w:rsid w:val="00DA632A"/>
    <w:rsid w:val="00DB3D14"/>
    <w:rsid w:val="00DB3E20"/>
    <w:rsid w:val="00DB522B"/>
    <w:rsid w:val="00DB7DFB"/>
    <w:rsid w:val="00DC142C"/>
    <w:rsid w:val="00DC168B"/>
    <w:rsid w:val="00DC35A0"/>
    <w:rsid w:val="00DC3636"/>
    <w:rsid w:val="00DC4433"/>
    <w:rsid w:val="00DD010F"/>
    <w:rsid w:val="00DD1425"/>
    <w:rsid w:val="00DD2DD9"/>
    <w:rsid w:val="00DD2E0B"/>
    <w:rsid w:val="00DD3231"/>
    <w:rsid w:val="00DD3BAB"/>
    <w:rsid w:val="00DD4212"/>
    <w:rsid w:val="00DD421D"/>
    <w:rsid w:val="00DD43C7"/>
    <w:rsid w:val="00DD5EDE"/>
    <w:rsid w:val="00DD600E"/>
    <w:rsid w:val="00DE1274"/>
    <w:rsid w:val="00DE1A96"/>
    <w:rsid w:val="00DE266B"/>
    <w:rsid w:val="00DE3374"/>
    <w:rsid w:val="00DE63EF"/>
    <w:rsid w:val="00DF2174"/>
    <w:rsid w:val="00DF2AB7"/>
    <w:rsid w:val="00DF3E09"/>
    <w:rsid w:val="00DF47B5"/>
    <w:rsid w:val="00DF4B7E"/>
    <w:rsid w:val="00DF4D1C"/>
    <w:rsid w:val="00DF5385"/>
    <w:rsid w:val="00DF5F53"/>
    <w:rsid w:val="00E00BDF"/>
    <w:rsid w:val="00E0194B"/>
    <w:rsid w:val="00E0253C"/>
    <w:rsid w:val="00E057FF"/>
    <w:rsid w:val="00E06C2E"/>
    <w:rsid w:val="00E06CD8"/>
    <w:rsid w:val="00E07976"/>
    <w:rsid w:val="00E1123E"/>
    <w:rsid w:val="00E1338F"/>
    <w:rsid w:val="00E1364D"/>
    <w:rsid w:val="00E20CD0"/>
    <w:rsid w:val="00E22DFE"/>
    <w:rsid w:val="00E31330"/>
    <w:rsid w:val="00E326AF"/>
    <w:rsid w:val="00E335BF"/>
    <w:rsid w:val="00E3394B"/>
    <w:rsid w:val="00E35D4A"/>
    <w:rsid w:val="00E373AE"/>
    <w:rsid w:val="00E44D97"/>
    <w:rsid w:val="00E4508F"/>
    <w:rsid w:val="00E45A89"/>
    <w:rsid w:val="00E51883"/>
    <w:rsid w:val="00E52B0E"/>
    <w:rsid w:val="00E57AE6"/>
    <w:rsid w:val="00E65301"/>
    <w:rsid w:val="00E6664E"/>
    <w:rsid w:val="00E7187C"/>
    <w:rsid w:val="00E73F32"/>
    <w:rsid w:val="00E7697A"/>
    <w:rsid w:val="00E77523"/>
    <w:rsid w:val="00E779EE"/>
    <w:rsid w:val="00E83ADC"/>
    <w:rsid w:val="00E84FA2"/>
    <w:rsid w:val="00E91A68"/>
    <w:rsid w:val="00E91EDC"/>
    <w:rsid w:val="00E92EFD"/>
    <w:rsid w:val="00E93E09"/>
    <w:rsid w:val="00EA56DC"/>
    <w:rsid w:val="00EA685A"/>
    <w:rsid w:val="00EB168A"/>
    <w:rsid w:val="00EB3466"/>
    <w:rsid w:val="00EB6811"/>
    <w:rsid w:val="00EB6AAD"/>
    <w:rsid w:val="00EC1212"/>
    <w:rsid w:val="00EC1FF4"/>
    <w:rsid w:val="00EC2193"/>
    <w:rsid w:val="00EC38FE"/>
    <w:rsid w:val="00ED1103"/>
    <w:rsid w:val="00ED1DC7"/>
    <w:rsid w:val="00ED6FF8"/>
    <w:rsid w:val="00EE0194"/>
    <w:rsid w:val="00EE3A12"/>
    <w:rsid w:val="00EF1E9E"/>
    <w:rsid w:val="00EF348A"/>
    <w:rsid w:val="00EF364D"/>
    <w:rsid w:val="00EF422C"/>
    <w:rsid w:val="00EF6E4A"/>
    <w:rsid w:val="00EF7928"/>
    <w:rsid w:val="00F029CB"/>
    <w:rsid w:val="00F046D5"/>
    <w:rsid w:val="00F065CC"/>
    <w:rsid w:val="00F115E5"/>
    <w:rsid w:val="00F127D2"/>
    <w:rsid w:val="00F140CD"/>
    <w:rsid w:val="00F141FA"/>
    <w:rsid w:val="00F145E2"/>
    <w:rsid w:val="00F15FA9"/>
    <w:rsid w:val="00F176C1"/>
    <w:rsid w:val="00F20AE1"/>
    <w:rsid w:val="00F22421"/>
    <w:rsid w:val="00F2327E"/>
    <w:rsid w:val="00F244FB"/>
    <w:rsid w:val="00F25522"/>
    <w:rsid w:val="00F25618"/>
    <w:rsid w:val="00F262B5"/>
    <w:rsid w:val="00F30E73"/>
    <w:rsid w:val="00F3113E"/>
    <w:rsid w:val="00F33B44"/>
    <w:rsid w:val="00F35A09"/>
    <w:rsid w:val="00F35EC9"/>
    <w:rsid w:val="00F362EF"/>
    <w:rsid w:val="00F37124"/>
    <w:rsid w:val="00F40D10"/>
    <w:rsid w:val="00F40F30"/>
    <w:rsid w:val="00F54A57"/>
    <w:rsid w:val="00F55541"/>
    <w:rsid w:val="00F56FCE"/>
    <w:rsid w:val="00F57A1E"/>
    <w:rsid w:val="00F606B6"/>
    <w:rsid w:val="00F612AD"/>
    <w:rsid w:val="00F648B1"/>
    <w:rsid w:val="00F7259D"/>
    <w:rsid w:val="00F73617"/>
    <w:rsid w:val="00F73B0C"/>
    <w:rsid w:val="00F74DD5"/>
    <w:rsid w:val="00F74DDD"/>
    <w:rsid w:val="00F754E9"/>
    <w:rsid w:val="00F77C04"/>
    <w:rsid w:val="00F81418"/>
    <w:rsid w:val="00F82D32"/>
    <w:rsid w:val="00F84A50"/>
    <w:rsid w:val="00F870CA"/>
    <w:rsid w:val="00F874C6"/>
    <w:rsid w:val="00F87C20"/>
    <w:rsid w:val="00F87FAB"/>
    <w:rsid w:val="00F90FB1"/>
    <w:rsid w:val="00F9128C"/>
    <w:rsid w:val="00F9241E"/>
    <w:rsid w:val="00F951C4"/>
    <w:rsid w:val="00F9773F"/>
    <w:rsid w:val="00FA29FD"/>
    <w:rsid w:val="00FA3C3E"/>
    <w:rsid w:val="00FA7775"/>
    <w:rsid w:val="00FA7AE7"/>
    <w:rsid w:val="00FA7BB3"/>
    <w:rsid w:val="00FB02DC"/>
    <w:rsid w:val="00FB0F1A"/>
    <w:rsid w:val="00FB1016"/>
    <w:rsid w:val="00FB766E"/>
    <w:rsid w:val="00FC6223"/>
    <w:rsid w:val="00FC66EF"/>
    <w:rsid w:val="00FD077F"/>
    <w:rsid w:val="00FD3932"/>
    <w:rsid w:val="00FD4011"/>
    <w:rsid w:val="00FD529B"/>
    <w:rsid w:val="00FE224F"/>
    <w:rsid w:val="00FE2842"/>
    <w:rsid w:val="00FE46D8"/>
    <w:rsid w:val="00FE53A0"/>
    <w:rsid w:val="00FE61AA"/>
    <w:rsid w:val="00FE75FE"/>
    <w:rsid w:val="00FF2113"/>
    <w:rsid w:val="00FF441B"/>
    <w:rsid w:val="00FF5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75E46D"/>
  <w15:docId w15:val="{9FC69BCB-5323-4075-BEE8-F496310C5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1">
    <w:name w:val="1"/>
    <w:basedOn w:val="TableNormal"/>
    <w:pPr>
      <w:spacing w:after="0" w:line="240" w:lineRule="auto"/>
    </w:pPr>
    <w:tblPr>
      <w:tblStyleRowBandSize w:val="1"/>
      <w:tblStyleColBandSize w:val="1"/>
      <w:tblCellMar>
        <w:left w:w="115" w:type="dxa"/>
        <w:right w:w="115" w:type="dxa"/>
      </w:tblCellMar>
    </w:tblPr>
  </w:style>
  <w:style w:type="paragraph" w:styleId="ListParagraph">
    <w:name w:val="List Paragraph"/>
    <w:basedOn w:val="Normal"/>
    <w:uiPriority w:val="34"/>
    <w:qFormat/>
    <w:rsid w:val="008036A4"/>
    <w:pPr>
      <w:ind w:left="720"/>
      <w:contextualSpacing/>
    </w:pPr>
  </w:style>
  <w:style w:type="paragraph" w:styleId="FootnoteText">
    <w:name w:val="footnote text"/>
    <w:basedOn w:val="Normal"/>
    <w:link w:val="FootnoteTextChar"/>
    <w:uiPriority w:val="99"/>
    <w:unhideWhenUsed/>
    <w:rsid w:val="008B4168"/>
    <w:pPr>
      <w:spacing w:after="0" w:line="240" w:lineRule="auto"/>
    </w:pPr>
    <w:rPr>
      <w:sz w:val="20"/>
      <w:szCs w:val="20"/>
    </w:rPr>
  </w:style>
  <w:style w:type="character" w:customStyle="1" w:styleId="FootnoteTextChar">
    <w:name w:val="Footnote Text Char"/>
    <w:basedOn w:val="DefaultParagraphFont"/>
    <w:link w:val="FootnoteText"/>
    <w:uiPriority w:val="99"/>
    <w:rsid w:val="008B4168"/>
    <w:rPr>
      <w:sz w:val="20"/>
      <w:szCs w:val="20"/>
    </w:rPr>
  </w:style>
  <w:style w:type="character" w:styleId="FootnoteReference">
    <w:name w:val="footnote reference"/>
    <w:basedOn w:val="DefaultParagraphFont"/>
    <w:uiPriority w:val="99"/>
    <w:semiHidden/>
    <w:unhideWhenUsed/>
    <w:rsid w:val="008B4168"/>
    <w:rPr>
      <w:vertAlign w:val="superscript"/>
    </w:rPr>
  </w:style>
  <w:style w:type="paragraph" w:styleId="EndnoteText">
    <w:name w:val="endnote text"/>
    <w:basedOn w:val="Normal"/>
    <w:link w:val="EndnoteTextChar"/>
    <w:uiPriority w:val="99"/>
    <w:semiHidden/>
    <w:unhideWhenUsed/>
    <w:rsid w:val="00E1338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1338F"/>
    <w:rPr>
      <w:sz w:val="20"/>
      <w:szCs w:val="20"/>
    </w:rPr>
  </w:style>
  <w:style w:type="character" w:styleId="EndnoteReference">
    <w:name w:val="endnote reference"/>
    <w:basedOn w:val="DefaultParagraphFont"/>
    <w:uiPriority w:val="99"/>
    <w:semiHidden/>
    <w:unhideWhenUsed/>
    <w:rsid w:val="00E1338F"/>
    <w:rPr>
      <w:vertAlign w:val="superscript"/>
    </w:rPr>
  </w:style>
  <w:style w:type="character" w:styleId="Hyperlink">
    <w:name w:val="Hyperlink"/>
    <w:basedOn w:val="DefaultParagraphFont"/>
    <w:uiPriority w:val="99"/>
    <w:unhideWhenUsed/>
    <w:rsid w:val="00A10790"/>
    <w:rPr>
      <w:color w:val="0000FF" w:themeColor="hyperlink"/>
      <w:u w:val="single"/>
    </w:rPr>
  </w:style>
  <w:style w:type="paragraph" w:styleId="BalloonText">
    <w:name w:val="Balloon Text"/>
    <w:basedOn w:val="Normal"/>
    <w:link w:val="BalloonTextChar"/>
    <w:uiPriority w:val="99"/>
    <w:semiHidden/>
    <w:unhideWhenUsed/>
    <w:rsid w:val="00257E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EEA"/>
    <w:rPr>
      <w:rFonts w:ascii="Tahoma" w:hAnsi="Tahoma" w:cs="Tahoma"/>
      <w:sz w:val="16"/>
      <w:szCs w:val="16"/>
    </w:rPr>
  </w:style>
  <w:style w:type="character" w:styleId="CommentReference">
    <w:name w:val="annotation reference"/>
    <w:basedOn w:val="DefaultParagraphFont"/>
    <w:uiPriority w:val="99"/>
    <w:semiHidden/>
    <w:unhideWhenUsed/>
    <w:rsid w:val="00DC142C"/>
    <w:rPr>
      <w:sz w:val="16"/>
      <w:szCs w:val="16"/>
    </w:rPr>
  </w:style>
  <w:style w:type="paragraph" w:styleId="CommentText">
    <w:name w:val="annotation text"/>
    <w:basedOn w:val="Normal"/>
    <w:link w:val="CommentTextChar"/>
    <w:uiPriority w:val="99"/>
    <w:semiHidden/>
    <w:unhideWhenUsed/>
    <w:rsid w:val="00DC142C"/>
    <w:pPr>
      <w:spacing w:line="240" w:lineRule="auto"/>
    </w:pPr>
    <w:rPr>
      <w:sz w:val="20"/>
      <w:szCs w:val="20"/>
    </w:rPr>
  </w:style>
  <w:style w:type="character" w:customStyle="1" w:styleId="CommentTextChar">
    <w:name w:val="Comment Text Char"/>
    <w:basedOn w:val="DefaultParagraphFont"/>
    <w:link w:val="CommentText"/>
    <w:uiPriority w:val="99"/>
    <w:semiHidden/>
    <w:rsid w:val="00DC142C"/>
    <w:rPr>
      <w:sz w:val="20"/>
      <w:szCs w:val="20"/>
    </w:rPr>
  </w:style>
  <w:style w:type="paragraph" w:styleId="CommentSubject">
    <w:name w:val="annotation subject"/>
    <w:basedOn w:val="CommentText"/>
    <w:next w:val="CommentText"/>
    <w:link w:val="CommentSubjectChar"/>
    <w:uiPriority w:val="99"/>
    <w:semiHidden/>
    <w:unhideWhenUsed/>
    <w:rsid w:val="00DC142C"/>
    <w:rPr>
      <w:b/>
      <w:bCs/>
    </w:rPr>
  </w:style>
  <w:style w:type="character" w:customStyle="1" w:styleId="CommentSubjectChar">
    <w:name w:val="Comment Subject Char"/>
    <w:basedOn w:val="CommentTextChar"/>
    <w:link w:val="CommentSubject"/>
    <w:uiPriority w:val="99"/>
    <w:semiHidden/>
    <w:rsid w:val="00DC142C"/>
    <w:rPr>
      <w:b/>
      <w:bCs/>
      <w:sz w:val="20"/>
      <w:szCs w:val="20"/>
    </w:rPr>
  </w:style>
  <w:style w:type="paragraph" w:styleId="TOCHeading">
    <w:name w:val="TOC Heading"/>
    <w:basedOn w:val="Heading1"/>
    <w:next w:val="Normal"/>
    <w:uiPriority w:val="39"/>
    <w:unhideWhenUsed/>
    <w:qFormat/>
    <w:rsid w:val="00821E75"/>
    <w:pPr>
      <w:spacing w:before="240" w:after="0" w:line="259" w:lineRule="auto"/>
      <w:contextualSpacing w:val="0"/>
      <w:outlineLvl w:val="9"/>
    </w:pPr>
    <w:rPr>
      <w:rFonts w:asciiTheme="majorHAnsi" w:eastAsiaTheme="majorEastAsia" w:hAnsiTheme="majorHAnsi" w:cstheme="majorBidi"/>
      <w:b w:val="0"/>
      <w:color w:val="365F91" w:themeColor="accent1" w:themeShade="BF"/>
      <w:sz w:val="32"/>
      <w:szCs w:val="32"/>
    </w:rPr>
  </w:style>
  <w:style w:type="paragraph" w:styleId="TOC1">
    <w:name w:val="toc 1"/>
    <w:basedOn w:val="Normal"/>
    <w:next w:val="Normal"/>
    <w:autoRedefine/>
    <w:uiPriority w:val="39"/>
    <w:unhideWhenUsed/>
    <w:rsid w:val="00821E75"/>
    <w:pPr>
      <w:spacing w:after="100"/>
    </w:pPr>
  </w:style>
  <w:style w:type="paragraph" w:styleId="Header">
    <w:name w:val="header"/>
    <w:basedOn w:val="Normal"/>
    <w:link w:val="HeaderChar"/>
    <w:uiPriority w:val="99"/>
    <w:unhideWhenUsed/>
    <w:rsid w:val="00FE61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1AA"/>
  </w:style>
  <w:style w:type="paragraph" w:styleId="Footer">
    <w:name w:val="footer"/>
    <w:basedOn w:val="Normal"/>
    <w:link w:val="FooterChar"/>
    <w:uiPriority w:val="99"/>
    <w:unhideWhenUsed/>
    <w:rsid w:val="00FE61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1AA"/>
  </w:style>
  <w:style w:type="character" w:styleId="FollowedHyperlink">
    <w:name w:val="FollowedHyperlink"/>
    <w:basedOn w:val="DefaultParagraphFont"/>
    <w:uiPriority w:val="99"/>
    <w:semiHidden/>
    <w:unhideWhenUsed/>
    <w:rsid w:val="0068397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67397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egreeprofile.org/" TargetMode="External"/><Relationship Id="rId18" Type="http://schemas.openxmlformats.org/officeDocument/2006/relationships/hyperlink" Target="http://blog.dol.gov/tag/defense-department-military-credentialing-and-licensing-task-force/" TargetMode="External"/><Relationship Id="rId26" Type="http://schemas.openxmlformats.org/officeDocument/2006/relationships/hyperlink" Target="http://eddesignlab.org/badgingchallenge/" TargetMode="External"/><Relationship Id="rId39" Type="http://schemas.openxmlformats.org/officeDocument/2006/relationships/hyperlink" Target="http://www.innovate-educate.org/" TargetMode="External"/><Relationship Id="rId21" Type="http://schemas.openxmlformats.org/officeDocument/2006/relationships/hyperlink" Target="http://www.imsglobal.org/cbe/index.html" TargetMode="External"/><Relationship Id="rId34" Type="http://schemas.openxmlformats.org/officeDocument/2006/relationships/hyperlink" Target="http://wdr.doleta.gov/directives/corr_doc.cfm?DOCN=3380" TargetMode="External"/><Relationship Id="rId42" Type="http://schemas.openxmlformats.org/officeDocument/2006/relationships/hyperlink" Target="https://www.ced.org/projects/single/essential-competencies-project/all" TargetMode="External"/><Relationship Id="rId47" Type="http://schemas.openxmlformats.org/officeDocument/2006/relationships/hyperlink" Target="https://www.certtec.com/aviation-assembly/" TargetMode="External"/><Relationship Id="rId50" Type="http://schemas.openxmlformats.org/officeDocument/2006/relationships/hyperlink" Target="http://teachecnationalcenter.org/" TargetMode="External"/><Relationship Id="rId55" Type="http://schemas.openxmlformats.org/officeDocument/2006/relationships/hyperlink" Target="http://quality.naf.org/naftrack-certified-hiring" TargetMode="External"/><Relationship Id="rId63" Type="http://schemas.openxmlformats.org/officeDocument/2006/relationships/hyperlink" Target="https://www.floridashines.org/" TargetMode="External"/><Relationship Id="rId68" Type="http://schemas.openxmlformats.org/officeDocument/2006/relationships/hyperlink" Target="http://www.wiche.edu/passport/home" TargetMode="External"/><Relationship Id="rId76" Type="http://schemas.openxmlformats.org/officeDocument/2006/relationships/hyperlink" Target="https://cew.georgetown.edu/" TargetMode="External"/><Relationship Id="rId84" Type="http://schemas.openxmlformats.org/officeDocument/2006/relationships/hyperlink" Target="http://www.ihep.org/research/initiatives/postsecondary-data-collaborative-postsecdata" TargetMode="External"/><Relationship Id="rId89"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http://teachecnationalcenter.org/center-initiatives-and-resources/center-initiatives/articulation/" TargetMode="External"/><Relationship Id="rId2" Type="http://schemas.openxmlformats.org/officeDocument/2006/relationships/numbering" Target="numbering.xml"/><Relationship Id="rId16" Type="http://schemas.openxmlformats.org/officeDocument/2006/relationships/hyperlink" Target="http://www.aacu.org/GEMs" TargetMode="External"/><Relationship Id="rId29" Type="http://schemas.openxmlformats.org/officeDocument/2006/relationships/hyperlink" Target="http://www.wascsenior.org/node/1282" TargetMode="External"/><Relationship Id="rId11" Type="http://schemas.openxmlformats.org/officeDocument/2006/relationships/hyperlink" Target="http://cte.ed.gov/employabilityskills/app/webroot/files/Employability_Skills_Framework.pdf" TargetMode="External"/><Relationship Id="rId24" Type="http://schemas.openxmlformats.org/officeDocument/2006/relationships/hyperlink" Target="http://eddesignlab.org/badgingchallenge/" TargetMode="External"/><Relationship Id="rId32" Type="http://schemas.openxmlformats.org/officeDocument/2006/relationships/hyperlink" Target="http://completecollege.org/gps-seal-of-approval/" TargetMode="External"/><Relationship Id="rId37" Type="http://schemas.openxmlformats.org/officeDocument/2006/relationships/hyperlink" Target="http://actfdn.org/national-network" TargetMode="External"/><Relationship Id="rId40" Type="http://schemas.openxmlformats.org/officeDocument/2006/relationships/hyperlink" Target="http://www.nga.org/cms/home/nga-center-for-best-practices/meeting--webcast-materials/page-edu-meetings-webcasts/col2-content/main-content-list/nga-talent-pipeline-policy-acade.html" TargetMode="External"/><Relationship Id="rId45" Type="http://schemas.openxmlformats.org/officeDocument/2006/relationships/hyperlink" Target="https://www.udacity.com/nanodegree" TargetMode="External"/><Relationship Id="rId53" Type="http://schemas.openxmlformats.org/officeDocument/2006/relationships/hyperlink" Target="https://cdn.americanprogress.org/wp-content/uploads/2014/09/ApprenticeshipInnov-report1.pdf" TargetMode="External"/><Relationship Id="rId58" Type="http://schemas.openxmlformats.org/officeDocument/2006/relationships/hyperlink" Target="http://www.workforceinfodb.org/PDF/CareerPathwaysToolkit2011.pdf" TargetMode="External"/><Relationship Id="rId66" Type="http://schemas.openxmlformats.org/officeDocument/2006/relationships/hyperlink" Target="http://www.acenet.edu/AlternativeCreditProject" TargetMode="External"/><Relationship Id="rId74" Type="http://schemas.openxmlformats.org/officeDocument/2006/relationships/hyperlink" Target="http://www.ihep.org/research/publications" TargetMode="External"/><Relationship Id="rId79" Type="http://schemas.openxmlformats.org/officeDocument/2006/relationships/hyperlink" Target="https://cew.georgetown.edu/achieving-racial-and-economic-diversity-with-race-blind-admission-policy2/" TargetMode="External"/><Relationship Id="rId87" Type="http://schemas.openxmlformats.org/officeDocument/2006/relationships/hyperlink" Target="http://www.edpartnerships.org/college-and-career-readiness-evaluation-consortium-ccrec" TargetMode="External"/><Relationship Id="rId5" Type="http://schemas.openxmlformats.org/officeDocument/2006/relationships/webSettings" Target="webSettings.xml"/><Relationship Id="rId61" Type="http://schemas.openxmlformats.org/officeDocument/2006/relationships/hyperlink" Target="http://www.careeronestop.org/credentials/index.aspx" TargetMode="External"/><Relationship Id="rId82" Type="http://schemas.openxmlformats.org/officeDocument/2006/relationships/hyperlink" Target="https://nces.ed.gov/surveys/gemena/surveys.asp" TargetMode="External"/><Relationship Id="rId90" Type="http://schemas.openxmlformats.org/officeDocument/2006/relationships/fontTable" Target="fontTable.xml"/><Relationship Id="rId19" Type="http://schemas.openxmlformats.org/officeDocument/2006/relationships/hyperlink" Target="http://blog.dol.gov/tag/defense-department-military-credentialing-and-licensing-task-force/" TargetMode="External"/><Relationship Id="rId14" Type="http://schemas.openxmlformats.org/officeDocument/2006/relationships/hyperlink" Target="https://www.aacu.org/leap" TargetMode="External"/><Relationship Id="rId22" Type="http://schemas.openxmlformats.org/officeDocument/2006/relationships/hyperlink" Target="http://openbadgespec.org/" TargetMode="External"/><Relationship Id="rId27" Type="http://schemas.openxmlformats.org/officeDocument/2006/relationships/hyperlink" Target="http://eddesignlab.org/badgingchallenge/" TargetMode="External"/><Relationship Id="rId30" Type="http://schemas.openxmlformats.org/officeDocument/2006/relationships/hyperlink" Target="https://www.whitehouse.gov/blog/2012/06/26/23-states-have-now-passed-pro-military-spouse-license-portability-measures" TargetMode="External"/><Relationship Id="rId35" Type="http://schemas.openxmlformats.org/officeDocument/2006/relationships/hyperlink" Target="http://www.irecusa.org" TargetMode="External"/><Relationship Id="rId43" Type="http://schemas.openxmlformats.org/officeDocument/2006/relationships/hyperlink" Target="http://www.doleta.gov/taaccct/applicantinfo.cfm" TargetMode="External"/><Relationship Id="rId48" Type="http://schemas.openxmlformats.org/officeDocument/2006/relationships/hyperlink" Target="http://www.cewd.org/state-consortia/" TargetMode="External"/><Relationship Id="rId56" Type="http://schemas.openxmlformats.org/officeDocument/2006/relationships/hyperlink" Target="http://www.CompTIA.org" TargetMode="External"/><Relationship Id="rId64" Type="http://schemas.openxmlformats.org/officeDocument/2006/relationships/hyperlink" Target="http://www.esc.edu/suny-real/global-learning-qualifications-framework/" TargetMode="External"/><Relationship Id="rId69" Type="http://schemas.openxmlformats.org/officeDocument/2006/relationships/hyperlink" Target="https://webmail.illinois.edu/owa/redir.aspx?SURL=vN6B7fakZpqlO6sY0VWL08vheRc5VnKwoNPi8HPoYZNUd-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.&amp;URL=https%3a%2f%2furldefense.proofpoint.com%2fv2%2furl%3fu%3dhttp-3A__occrl.illinois.edu_projects_cwid_%26d%3dAwMGaQ%26c%3d8hUWFZcy2Z-Za5rBPlktOQ%26r%3dUzq-2Uu5eOt-6jUdVTn_Yr9VSUMGPGa6EFYwk07VHY8%26m%3dMBgiOZnkkEmIvQ-z_BXOSS5wSMRsNcd1NkItF553wd0%26s%3dUJyLgslRy3gD1he0rcC9WNjWqykiyNXrXRuLCsBWS4A%26e%3d" TargetMode="External"/><Relationship Id="rId77" Type="http://schemas.openxmlformats.org/officeDocument/2006/relationships/hyperlink" Target="http://www.credentialtransparencyinitiative.org/" TargetMode="External"/><Relationship Id="rId8" Type="http://schemas.openxmlformats.org/officeDocument/2006/relationships/image" Target="media/image1.emf"/><Relationship Id="rId51" Type="http://schemas.openxmlformats.org/officeDocument/2006/relationships/hyperlink" Target="http://doleta.gov/oa/racc.cfm" TargetMode="External"/><Relationship Id="rId72" Type="http://schemas.openxmlformats.org/officeDocument/2006/relationships/hyperlink" Target="http://www.mdcinc.org/" TargetMode="External"/><Relationship Id="rId80" Type="http://schemas.openxmlformats.org/officeDocument/2006/relationships/hyperlink" Target="https://cew.georgetown.edu/how-increasing-college-access-is-increasing-inequality-and-what-to-do-about-it-2/" TargetMode="External"/><Relationship Id="rId85" Type="http://schemas.openxmlformats.org/officeDocument/2006/relationships/hyperlink" Target="http://www.wiche.edu/longitudinaldataexchange" TargetMode="External"/><Relationship Id="rId3" Type="http://schemas.openxmlformats.org/officeDocument/2006/relationships/styles" Target="styles.xml"/><Relationship Id="rId12" Type="http://schemas.openxmlformats.org/officeDocument/2006/relationships/hyperlink" Target="http://cte.ed.gov/employabilityskills/app/webroot/files/Employability_Skills_Framework.pdf" TargetMode="External"/><Relationship Id="rId17" Type="http://schemas.openxmlformats.org/officeDocument/2006/relationships/hyperlink" Target="http://www.achieve.org/CBP" TargetMode="External"/><Relationship Id="rId25" Type="http://schemas.openxmlformats.org/officeDocument/2006/relationships/hyperlink" Target="http://eddesignlab.org/badgingchallenge/" TargetMode="External"/><Relationship Id="rId33" Type="http://schemas.openxmlformats.org/officeDocument/2006/relationships/hyperlink" Target="http://wdr.doleta.gov/directives/corr_doc.cfm?DOCN=3380" TargetMode="External"/><Relationship Id="rId38" Type="http://schemas.openxmlformats.org/officeDocument/2006/relationships/hyperlink" Target="http://actfdn.org/business-industry-groups-advance-efforts-close-skills-gap/" TargetMode="External"/><Relationship Id="rId46" Type="http://schemas.openxmlformats.org/officeDocument/2006/relationships/hyperlink" Target="http://www.nc3.net/" TargetMode="External"/><Relationship Id="rId59" Type="http://schemas.openxmlformats.org/officeDocument/2006/relationships/hyperlink" Target="http://2rs11m47n9nefk1rmiofa51a.wpengine.netdna-cdn.com/wp-content/uploads/2015/05/The-Evolution-and-Potential-of-Career-Pathways.pdf" TargetMode="External"/><Relationship Id="rId67" Type="http://schemas.openxmlformats.org/officeDocument/2006/relationships/hyperlink" Target="https://www.ccfasttrack.org/" TargetMode="External"/><Relationship Id="rId20" Type="http://schemas.openxmlformats.org/officeDocument/2006/relationships/hyperlink" Target="http://www.nga.org/files/live/sites/NGA/files/pdf/2014/1410VeteransLicensingDoDCredentialing_Cain.pdf" TargetMode="External"/><Relationship Id="rId41" Type="http://schemas.openxmlformats.org/officeDocument/2006/relationships/hyperlink" Target="http://www.nga.org/cms/home/nga-center-for-best-practices/meeting--webcast-materials/page-edu-meetings-webcasts/col2-content/main-content-list/nga-talent-pipeline-policy-acade.html" TargetMode="External"/><Relationship Id="rId54" Type="http://schemas.openxmlformats.org/officeDocument/2006/relationships/hyperlink" Target="http://www.themanufacturinginstitute.org/~/media/14B36E1969704C3BADF11A1BE0F21B3D.ashx" TargetMode="External"/><Relationship Id="rId62" Type="http://schemas.openxmlformats.org/officeDocument/2006/relationships/hyperlink" Target="https://www.sctrac.org/" TargetMode="External"/><Relationship Id="rId70" Type="http://schemas.openxmlformats.org/officeDocument/2006/relationships/hyperlink" Target="https://webmail.illinois.edu/owa/redir.aspx?SURL=vN6B7fakZpqlO6sY0VWL08vheRc5VnKwoNPi8HPoYZNUd-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.&amp;URL=https%3a%2f%2furldefense.proofpoint.com%2fv2%2furl%3fu%3dhttp-3A__occrl.illinois.edu_projects_cwid_%26d%3dAwMGaQ%26c%3d8hUWFZcy2Z-Za5rBPlktOQ%26r%3dUzq-2Uu5eOt-6jUdVTn_Yr9VSUMGPGa6EFYwk07VHY8%26m%3dMBgiOZnkkEmIvQ-z_BXOSS5wSMRsNcd1NkItF553wd0%26s%3dUJyLgslRy3gD1he0rcC9WNjWqykiyNXrXRuLCsBWS4A%26e%3d" TargetMode="External"/><Relationship Id="rId75" Type="http://schemas.openxmlformats.org/officeDocument/2006/relationships/hyperlink" Target="https://webmail.illinois.edu/owa/redir.aspx?SURL=w_rklpdzUlhfQ2NePpWiG7V-ByufJZ79o1SUdXlQRfVUd-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..&amp;URL=https%3a%2f%2furldefense.proofpoint.com%2fv2%2furl%3fu%3dhttp-3A__occrl.illinois.edu_projects_pathways_%26d%3dAwMGaQ%26c%3d8hUWFZcy2Z-Za5rBPlktOQ%26r%3dUzq-2Uu5eOt-6jUdVTn_Yr9VSUMGPGa6EFYwk07VHY8%26m%3dlPfAuV5Hd6TDKnQCcJ-c8poHFrXDbP5-6coyesqw9Oo%26s%3djrqU30dxNTy2zIkG8f-yZgujx_DU5PY7ejcGhmIcdMY%26e%3d" TargetMode="External"/><Relationship Id="rId83" Type="http://schemas.openxmlformats.org/officeDocument/2006/relationships/hyperlink" Target="http://www.acteonline.org/certification_data" TargetMode="External"/><Relationship Id="rId88" Type="http://schemas.openxmlformats.org/officeDocument/2006/relationships/footer" Target="footer1.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sheeo.org/projects/msc-multi-state-collaborative-learning-outcomes-assessment" TargetMode="External"/><Relationship Id="rId23" Type="http://schemas.openxmlformats.org/officeDocument/2006/relationships/hyperlink" Target="http://www.getskillstowork.org" TargetMode="External"/><Relationship Id="rId28" Type="http://schemas.openxmlformats.org/officeDocument/2006/relationships/hyperlink" Target="https://experimentalsites.ed.gov/exp/approved.html" TargetMode="External"/><Relationship Id="rId36" Type="http://schemas.openxmlformats.org/officeDocument/2006/relationships/hyperlink" Target="http://www.wgu.edu/about_WGU/accreditation" TargetMode="External"/><Relationship Id="rId49" Type="http://schemas.openxmlformats.org/officeDocument/2006/relationships/hyperlink" Target="http://www.collegeforamerica.org/healthcare-workforce-report" TargetMode="External"/><Relationship Id="rId57" Type="http://schemas.openxmlformats.org/officeDocument/2006/relationships/hyperlink" Target="http://www.clasp.org/resources-and-publications/files/aqcp-framework-version-1-0/AQCP-Framework.pdf" TargetMode="External"/><Relationship Id="rId10" Type="http://schemas.openxmlformats.org/officeDocument/2006/relationships/hyperlink" Target="http://bbbb.blackboard.com/Competency-based-education-definitions" TargetMode="External"/><Relationship Id="rId31" Type="http://schemas.openxmlformats.org/officeDocument/2006/relationships/hyperlink" Target="http://completecollege.org/gps-seal-of-approval/" TargetMode="External"/><Relationship Id="rId44" Type="http://schemas.openxmlformats.org/officeDocument/2006/relationships/hyperlink" Target="http://www.TheTalentSupplyChain.org" TargetMode="External"/><Relationship Id="rId52" Type="http://schemas.openxmlformats.org/officeDocument/2006/relationships/hyperlink" Target="http://doleta.gov/oa/racc.cfm" TargetMode="External"/><Relationship Id="rId60" Type="http://schemas.openxmlformats.org/officeDocument/2006/relationships/hyperlink" Target="http://www.epiconline.org/what-we-do/bridge-the-divide/" TargetMode="External"/><Relationship Id="rId65" Type="http://schemas.openxmlformats.org/officeDocument/2006/relationships/hyperlink" Target="http://www.learningcounts.org/" TargetMode="External"/><Relationship Id="rId73" Type="http://schemas.openxmlformats.org/officeDocument/2006/relationships/hyperlink" Target="http://www.clasp.org/issues/postsecondary/pages/credentials" TargetMode="External"/><Relationship Id="rId78" Type="http://schemas.openxmlformats.org/officeDocument/2006/relationships/hyperlink" Target="https://cew.georgetown.edu/report/separate-unequal/" TargetMode="External"/><Relationship Id="rId81" Type="http://schemas.openxmlformats.org/officeDocument/2006/relationships/hyperlink" Target="https://cew.georgetown.edu/socioeconomic-status-raceethnicity-and-selective-college-admissions-2/" TargetMode="External"/><Relationship Id="rId86" Type="http://schemas.openxmlformats.org/officeDocument/2006/relationships/hyperlink" Target="https://cew.georgetown.edu/%20" TargetMode="External"/><Relationship Id="rId4" Type="http://schemas.openxmlformats.org/officeDocument/2006/relationships/settings" Target="settings.xml"/><Relationship Id="rId9" Type="http://schemas.openxmlformats.org/officeDocument/2006/relationships/hyperlink" Target="http://connectingcredentia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091FD-42E1-43E0-B998-97FE45F3A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17</Pages>
  <Words>9981</Words>
  <Characters>56894</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
    </vt:vector>
  </TitlesOfParts>
  <Company>Lumina Foundation for Education</Company>
  <LinksUpToDate>false</LinksUpToDate>
  <CharactersWithSpaces>66742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Zanville, Ph.D.</dc:creator>
  <cp:lastModifiedBy>khall</cp:lastModifiedBy>
  <cp:revision>14</cp:revision>
  <cp:lastPrinted>2015-09-22T18:27:00Z</cp:lastPrinted>
  <dcterms:created xsi:type="dcterms:W3CDTF">2016-09-15T15:58:00Z</dcterms:created>
  <dcterms:modified xsi:type="dcterms:W3CDTF">2016-09-15T20:42:00Z</dcterms:modified>
</cp:coreProperties>
</file>